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B4EE" w14:textId="77777777" w:rsidR="00AA5855" w:rsidRPr="00AA5855" w:rsidRDefault="00AA5855" w:rsidP="00AA5855">
      <w:pPr>
        <w:jc w:val="both"/>
        <w:rPr>
          <w:rFonts w:ascii="Calibri" w:hAnsi="Calibri" w:cs="Calibri"/>
          <w:b/>
          <w:sz w:val="22"/>
          <w:szCs w:val="22"/>
        </w:rPr>
      </w:pPr>
      <w:bookmarkStart w:id="0" w:name="_Hlk134117788"/>
      <w:bookmarkEnd w:id="0"/>
    </w:p>
    <w:p w14:paraId="3F26BFB0" w14:textId="77777777" w:rsidR="00AA5855" w:rsidRPr="00AA5855" w:rsidRDefault="00AA5855" w:rsidP="00AA5855">
      <w:pPr>
        <w:jc w:val="both"/>
        <w:rPr>
          <w:rFonts w:ascii="Calibri" w:hAnsi="Calibri" w:cs="Calibri"/>
          <w:sz w:val="22"/>
          <w:szCs w:val="22"/>
        </w:rPr>
      </w:pPr>
    </w:p>
    <w:p w14:paraId="4C94A9BE" w14:textId="77777777" w:rsidR="00AA5855" w:rsidRDefault="00AA5855" w:rsidP="00AA5855">
      <w:pPr>
        <w:jc w:val="both"/>
        <w:rPr>
          <w:rFonts w:ascii="Calibri" w:hAnsi="Calibri" w:cs="Calibri"/>
          <w:sz w:val="22"/>
          <w:szCs w:val="22"/>
        </w:rPr>
      </w:pPr>
    </w:p>
    <w:p w14:paraId="26F485E3" w14:textId="77777777" w:rsidR="006C2F98" w:rsidRDefault="006C2F98" w:rsidP="00AA5855">
      <w:pPr>
        <w:jc w:val="both"/>
        <w:rPr>
          <w:rFonts w:ascii="Calibri" w:hAnsi="Calibri" w:cs="Calibri"/>
          <w:sz w:val="22"/>
          <w:szCs w:val="22"/>
        </w:rPr>
      </w:pPr>
    </w:p>
    <w:p w14:paraId="447A94F4" w14:textId="77777777" w:rsidR="006C2F98" w:rsidRDefault="006C2F98" w:rsidP="00AA5855">
      <w:pPr>
        <w:jc w:val="both"/>
        <w:rPr>
          <w:rFonts w:ascii="Calibri" w:hAnsi="Calibri" w:cs="Calibri"/>
          <w:sz w:val="22"/>
          <w:szCs w:val="22"/>
        </w:rPr>
      </w:pPr>
    </w:p>
    <w:p w14:paraId="7E90B609" w14:textId="77777777" w:rsidR="006C2F98" w:rsidRDefault="006C2F98" w:rsidP="00AA5855">
      <w:pPr>
        <w:jc w:val="both"/>
        <w:rPr>
          <w:rFonts w:ascii="Calibri" w:hAnsi="Calibri" w:cs="Calibri"/>
          <w:sz w:val="22"/>
          <w:szCs w:val="22"/>
        </w:rPr>
      </w:pPr>
    </w:p>
    <w:p w14:paraId="124B7A54" w14:textId="77777777" w:rsidR="006C2F98" w:rsidRDefault="006C2F98" w:rsidP="00AA5855">
      <w:pPr>
        <w:jc w:val="both"/>
        <w:rPr>
          <w:rFonts w:ascii="Calibri" w:hAnsi="Calibri" w:cs="Calibri"/>
          <w:sz w:val="22"/>
          <w:szCs w:val="22"/>
        </w:rPr>
      </w:pPr>
    </w:p>
    <w:p w14:paraId="514248CC" w14:textId="77777777" w:rsidR="006C2F98" w:rsidRPr="00AA5855" w:rsidRDefault="006C2F98" w:rsidP="00AA5855">
      <w:pPr>
        <w:jc w:val="both"/>
        <w:rPr>
          <w:rFonts w:ascii="Calibri" w:hAnsi="Calibri" w:cs="Calibri"/>
          <w:sz w:val="22"/>
          <w:szCs w:val="22"/>
        </w:rPr>
      </w:pPr>
    </w:p>
    <w:p w14:paraId="21E8FFAF" w14:textId="77777777" w:rsidR="0025342B" w:rsidRPr="0025342B" w:rsidRDefault="0025342B" w:rsidP="0025342B">
      <w:pPr>
        <w:overflowPunct w:val="0"/>
        <w:autoSpaceDE w:val="0"/>
        <w:autoSpaceDN w:val="0"/>
        <w:adjustRightInd w:val="0"/>
        <w:jc w:val="both"/>
        <w:textAlignment w:val="baseline"/>
        <w:rPr>
          <w:rFonts w:ascii="Calibri" w:hAnsi="Calibri" w:cs="Calibri"/>
          <w:sz w:val="22"/>
          <w:szCs w:val="22"/>
        </w:rPr>
      </w:pPr>
    </w:p>
    <w:p w14:paraId="02A5A256" w14:textId="77777777" w:rsidR="0025342B" w:rsidRPr="0025342B" w:rsidRDefault="0025342B" w:rsidP="0025342B">
      <w:pPr>
        <w:overflowPunct w:val="0"/>
        <w:autoSpaceDE w:val="0"/>
        <w:autoSpaceDN w:val="0"/>
        <w:adjustRightInd w:val="0"/>
        <w:jc w:val="both"/>
        <w:textAlignment w:val="baseline"/>
        <w:rPr>
          <w:rFonts w:ascii="Calibri" w:hAnsi="Calibri" w:cs="Calibri"/>
          <w:sz w:val="22"/>
          <w:szCs w:val="22"/>
        </w:rPr>
      </w:pPr>
    </w:p>
    <w:p w14:paraId="275174D7" w14:textId="77777777" w:rsidR="0025342B" w:rsidRDefault="0025342B"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18"/>
          <w:szCs w:val="18"/>
        </w:rPr>
      </w:pPr>
    </w:p>
    <w:p w14:paraId="61535434" w14:textId="77777777" w:rsidR="006C2F98" w:rsidRDefault="006C2F98"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18"/>
          <w:szCs w:val="18"/>
        </w:rPr>
      </w:pPr>
    </w:p>
    <w:p w14:paraId="14CC0B63" w14:textId="77777777" w:rsidR="006C2F98" w:rsidRDefault="006C2F98"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18"/>
          <w:szCs w:val="18"/>
        </w:rPr>
      </w:pPr>
    </w:p>
    <w:p w14:paraId="2D329FED" w14:textId="77777777" w:rsidR="006C2F98" w:rsidRDefault="006C2F98"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18"/>
          <w:szCs w:val="18"/>
        </w:rPr>
      </w:pPr>
    </w:p>
    <w:p w14:paraId="24583F16" w14:textId="77777777" w:rsidR="006C2F98" w:rsidRPr="0025342B" w:rsidRDefault="006C2F98"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18"/>
          <w:szCs w:val="18"/>
        </w:rPr>
      </w:pPr>
    </w:p>
    <w:p w14:paraId="7AFC2D67" w14:textId="1FBD9ACB" w:rsidR="0025342B" w:rsidRPr="0025342B" w:rsidRDefault="0025342B"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32"/>
          <w:szCs w:val="32"/>
        </w:rPr>
      </w:pPr>
      <w:r w:rsidRPr="0025342B">
        <w:rPr>
          <w:rFonts w:ascii="Calibri" w:hAnsi="Calibri" w:cs="Calibri"/>
          <w:b/>
          <w:sz w:val="32"/>
          <w:szCs w:val="32"/>
        </w:rPr>
        <w:t>PROJET DE PLAN DE REDRESSEMENT PAR VOIE DE CONTINU</w:t>
      </w:r>
      <w:r w:rsidR="00D45F92">
        <w:rPr>
          <w:rFonts w:ascii="Calibri" w:hAnsi="Calibri" w:cs="Calibri"/>
          <w:b/>
          <w:sz w:val="32"/>
          <w:szCs w:val="32"/>
        </w:rPr>
        <w:t>A</w:t>
      </w:r>
      <w:r w:rsidRPr="0025342B">
        <w:rPr>
          <w:rFonts w:ascii="Calibri" w:hAnsi="Calibri" w:cs="Calibri"/>
          <w:b/>
          <w:sz w:val="32"/>
          <w:szCs w:val="32"/>
        </w:rPr>
        <w:t>TION</w:t>
      </w:r>
    </w:p>
    <w:p w14:paraId="55C4A80D" w14:textId="0987ED40" w:rsidR="0001411F" w:rsidRDefault="0025342B" w:rsidP="0001411F">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32"/>
          <w:szCs w:val="32"/>
          <w:lang w:val="es-ES"/>
        </w:rPr>
      </w:pPr>
      <w:r w:rsidRPr="00195ED2">
        <w:rPr>
          <w:rFonts w:ascii="Calibri" w:hAnsi="Calibri" w:cs="Calibri"/>
          <w:b/>
          <w:sz w:val="32"/>
          <w:szCs w:val="32"/>
          <w:lang w:val="es-ES"/>
        </w:rPr>
        <w:t>PRESENT</w:t>
      </w:r>
      <w:r w:rsidR="00070F82">
        <w:rPr>
          <w:rFonts w:ascii="Calibri" w:hAnsi="Calibri" w:cs="Calibri"/>
          <w:b/>
          <w:sz w:val="32"/>
          <w:szCs w:val="32"/>
          <w:lang w:val="es-ES"/>
        </w:rPr>
        <w:t>É</w:t>
      </w:r>
      <w:r w:rsidRPr="00195ED2">
        <w:rPr>
          <w:rFonts w:ascii="Calibri" w:hAnsi="Calibri" w:cs="Calibri"/>
          <w:b/>
          <w:sz w:val="32"/>
          <w:szCs w:val="32"/>
          <w:lang w:val="es-ES"/>
        </w:rPr>
        <w:t xml:space="preserve"> </w:t>
      </w:r>
    </w:p>
    <w:p w14:paraId="002C3625" w14:textId="77777777" w:rsidR="0001411F" w:rsidRDefault="0001411F" w:rsidP="0001411F">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32"/>
          <w:szCs w:val="32"/>
          <w:lang w:val="es-ES"/>
        </w:rPr>
      </w:pPr>
    </w:p>
    <w:p w14:paraId="5C2D7E84" w14:textId="78BBF38E" w:rsidR="0025342B" w:rsidRPr="00195ED2" w:rsidRDefault="0025342B"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lang w:val="es-ES"/>
        </w:rPr>
      </w:pPr>
      <w:r w:rsidRPr="003D52AE">
        <w:rPr>
          <w:rFonts w:ascii="Calibri" w:hAnsi="Calibri" w:cs="Calibri"/>
          <w:b/>
          <w:sz w:val="32"/>
          <w:szCs w:val="32"/>
          <w:lang w:val="es-ES"/>
        </w:rPr>
        <w:t>PAR LA SOCIETE</w:t>
      </w:r>
      <w:r w:rsidR="001A37A7" w:rsidRPr="003D52AE">
        <w:rPr>
          <w:rFonts w:ascii="Calibri" w:hAnsi="Calibri" w:cs="Calibri"/>
          <w:b/>
          <w:sz w:val="32"/>
          <w:szCs w:val="32"/>
          <w:lang w:val="es-ES"/>
        </w:rPr>
        <w:t xml:space="preserve"> </w:t>
      </w:r>
      <w:r w:rsidR="00986A80">
        <w:rPr>
          <w:rFonts w:ascii="Calibri" w:hAnsi="Calibri" w:cs="Calibri"/>
          <w:b/>
          <w:sz w:val="32"/>
          <w:szCs w:val="32"/>
          <w:lang w:val="es-ES"/>
        </w:rPr>
        <w:t>SCI TOLBIAC</w:t>
      </w:r>
    </w:p>
    <w:p w14:paraId="585B677E" w14:textId="45468808" w:rsidR="0025342B" w:rsidRPr="0025342B" w:rsidRDefault="0025342B"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rPr>
      </w:pPr>
    </w:p>
    <w:p w14:paraId="459E28EF" w14:textId="77777777" w:rsidR="0025342B" w:rsidRPr="0025342B" w:rsidRDefault="0025342B"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rPr>
      </w:pPr>
    </w:p>
    <w:p w14:paraId="5F9542B2" w14:textId="3EA562FA" w:rsidR="0025342B" w:rsidRPr="0025342B" w:rsidRDefault="00070F82" w:rsidP="0025342B">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i/>
          <w:iCs/>
          <w:sz w:val="22"/>
          <w:szCs w:val="22"/>
        </w:rPr>
      </w:pPr>
      <w:r w:rsidRPr="0025342B">
        <w:rPr>
          <w:rFonts w:ascii="Calibri" w:hAnsi="Calibri" w:cs="Calibri"/>
          <w:i/>
          <w:iCs/>
          <w:sz w:val="22"/>
          <w:szCs w:val="22"/>
        </w:rPr>
        <w:t>Établi</w:t>
      </w:r>
      <w:r w:rsidR="0025342B" w:rsidRPr="0025342B">
        <w:rPr>
          <w:rFonts w:ascii="Calibri" w:hAnsi="Calibri" w:cs="Calibri"/>
          <w:i/>
          <w:iCs/>
          <w:sz w:val="22"/>
          <w:szCs w:val="22"/>
        </w:rPr>
        <w:t xml:space="preserve"> conformément aux dispositions des articles L. 626-1 et suivants du code de commerce applicables à la procédure de redressement judiciaire par renvoi de l’article L. 631-19 du code de</w:t>
      </w:r>
      <w:r w:rsidR="007F0EDD">
        <w:rPr>
          <w:rFonts w:ascii="Calibri" w:hAnsi="Calibri" w:cs="Calibri"/>
          <w:i/>
          <w:iCs/>
          <w:sz w:val="22"/>
          <w:szCs w:val="22"/>
        </w:rPr>
        <w:t> </w:t>
      </w:r>
      <w:r w:rsidR="0025342B" w:rsidRPr="0025342B">
        <w:rPr>
          <w:rFonts w:ascii="Calibri" w:hAnsi="Calibri" w:cs="Calibri"/>
          <w:i/>
          <w:iCs/>
          <w:sz w:val="22"/>
          <w:szCs w:val="22"/>
        </w:rPr>
        <w:t>commerce</w:t>
      </w:r>
    </w:p>
    <w:p w14:paraId="1C5BFF3A" w14:textId="77777777" w:rsidR="007F0EDD" w:rsidRDefault="007F0EDD" w:rsidP="00823172">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rFonts w:ascii="Calibri" w:hAnsi="Calibri" w:cs="Calibri"/>
          <w:b/>
          <w:sz w:val="22"/>
          <w:szCs w:val="22"/>
        </w:rPr>
      </w:pPr>
    </w:p>
    <w:p w14:paraId="755D210A" w14:textId="77777777" w:rsidR="00823172" w:rsidRPr="00823172" w:rsidRDefault="00823172" w:rsidP="00823172">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highlight w:val="yellow"/>
        </w:rPr>
      </w:pPr>
    </w:p>
    <w:p w14:paraId="280E0899" w14:textId="108E2C3F" w:rsidR="00A80BFD" w:rsidRPr="00A80BFD" w:rsidRDefault="00A80BFD" w:rsidP="00A80BFD">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rPr>
      </w:pPr>
      <w:r w:rsidRPr="00A80BFD">
        <w:rPr>
          <w:rFonts w:ascii="Calibri" w:hAnsi="Calibri" w:cs="Calibri"/>
          <w:b/>
          <w:sz w:val="22"/>
          <w:szCs w:val="22"/>
        </w:rPr>
        <w:t>Siège social :</w:t>
      </w:r>
      <w:r w:rsidRPr="00A80BFD">
        <w:rPr>
          <w:rFonts w:ascii="Calibri" w:hAnsi="Calibri" w:cs="Calibri"/>
          <w:bCs/>
          <w:sz w:val="22"/>
          <w:szCs w:val="22"/>
        </w:rPr>
        <w:t xml:space="preserve"> </w:t>
      </w:r>
      <w:r w:rsidR="00D14D5C">
        <w:rPr>
          <w:rFonts w:ascii="Calibri" w:hAnsi="Calibri" w:cs="Calibri"/>
          <w:bCs/>
          <w:sz w:val="22"/>
          <w:szCs w:val="22"/>
        </w:rPr>
        <w:t>5 Avenue de Lincoln</w:t>
      </w:r>
      <w:r w:rsidR="00D14D5C" w:rsidRPr="00D42364">
        <w:rPr>
          <w:rFonts w:ascii="Calibri" w:hAnsi="Calibri" w:cs="Calibri"/>
          <w:bCs/>
          <w:sz w:val="22"/>
          <w:szCs w:val="22"/>
        </w:rPr>
        <w:t xml:space="preserve"> </w:t>
      </w:r>
      <w:r w:rsidR="00D14D5C">
        <w:rPr>
          <w:rFonts w:ascii="Calibri" w:hAnsi="Calibri" w:cs="Calibri"/>
          <w:bCs/>
          <w:sz w:val="22"/>
          <w:szCs w:val="22"/>
        </w:rPr>
        <w:t>–</w:t>
      </w:r>
      <w:r w:rsidR="00D14D5C" w:rsidRPr="00D42364">
        <w:rPr>
          <w:rFonts w:ascii="Calibri" w:hAnsi="Calibri" w:cs="Calibri"/>
          <w:bCs/>
          <w:sz w:val="22"/>
          <w:szCs w:val="22"/>
        </w:rPr>
        <w:t xml:space="preserve"> </w:t>
      </w:r>
      <w:r w:rsidR="00D14D5C">
        <w:rPr>
          <w:rFonts w:ascii="Calibri" w:hAnsi="Calibri" w:cs="Calibri"/>
          <w:bCs/>
          <w:sz w:val="22"/>
          <w:szCs w:val="22"/>
        </w:rPr>
        <w:t>75008 Paris</w:t>
      </w:r>
    </w:p>
    <w:p w14:paraId="3D6C950C" w14:textId="77777777" w:rsidR="00A80BFD" w:rsidRPr="00A80BFD" w:rsidRDefault="00A80BFD" w:rsidP="00A80BFD">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rPr>
      </w:pPr>
      <w:r w:rsidRPr="00A80BFD">
        <w:rPr>
          <w:rFonts w:ascii="Calibri" w:hAnsi="Calibri" w:cs="Calibri"/>
          <w:b/>
          <w:sz w:val="22"/>
          <w:szCs w:val="22"/>
        </w:rPr>
        <w:t xml:space="preserve">Activité : </w:t>
      </w:r>
      <w:r w:rsidRPr="00A80BFD">
        <w:rPr>
          <w:rFonts w:ascii="Calibri" w:hAnsi="Calibri" w:cs="Calibri"/>
          <w:bCs/>
          <w:sz w:val="22"/>
          <w:szCs w:val="22"/>
        </w:rPr>
        <w:t>Hôtellerie et para-hôtellerie</w:t>
      </w:r>
    </w:p>
    <w:p w14:paraId="099EC16F" w14:textId="77777777" w:rsidR="00A80BFD" w:rsidRPr="00A80BFD" w:rsidRDefault="00A80BFD" w:rsidP="00A80BFD">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b/>
          <w:sz w:val="22"/>
          <w:szCs w:val="22"/>
        </w:rPr>
      </w:pPr>
      <w:r w:rsidRPr="00A80BFD">
        <w:rPr>
          <w:rFonts w:ascii="Calibri" w:hAnsi="Calibri" w:cs="Calibri"/>
          <w:b/>
          <w:sz w:val="22"/>
          <w:szCs w:val="22"/>
        </w:rPr>
        <w:t>Effectif (à l’ouverture / à date)</w:t>
      </w:r>
      <w:r w:rsidRPr="00A80BFD">
        <w:rPr>
          <w:rFonts w:ascii="Calibri" w:hAnsi="Calibri" w:cs="Calibri"/>
          <w:bCs/>
          <w:sz w:val="22"/>
          <w:szCs w:val="22"/>
        </w:rPr>
        <w:t xml:space="preserve"> : aucun salarié</w:t>
      </w:r>
    </w:p>
    <w:p w14:paraId="779B8946" w14:textId="1D993D5A" w:rsidR="00783B61" w:rsidRDefault="00A80BFD" w:rsidP="00A80BFD">
      <w:pPr>
        <w:pBdr>
          <w:top w:val="single" w:sz="4" w:space="1" w:color="auto"/>
          <w:left w:val="single" w:sz="4" w:space="4" w:color="auto"/>
          <w:bottom w:val="single" w:sz="4" w:space="31" w:color="auto"/>
          <w:right w:val="single" w:sz="4" w:space="4" w:color="auto"/>
        </w:pBdr>
        <w:overflowPunct w:val="0"/>
        <w:autoSpaceDE w:val="0"/>
        <w:autoSpaceDN w:val="0"/>
        <w:adjustRightInd w:val="0"/>
        <w:jc w:val="center"/>
        <w:textAlignment w:val="baseline"/>
        <w:rPr>
          <w:rFonts w:ascii="Calibri" w:hAnsi="Calibri" w:cs="Calibri"/>
          <w:sz w:val="22"/>
          <w:szCs w:val="22"/>
        </w:rPr>
      </w:pPr>
      <w:r w:rsidRPr="00A80BFD">
        <w:rPr>
          <w:rFonts w:ascii="Calibri" w:hAnsi="Calibri" w:cs="Calibri"/>
          <w:b/>
          <w:sz w:val="22"/>
          <w:szCs w:val="22"/>
        </w:rPr>
        <w:t xml:space="preserve">Chiffre d’affaires du dernier exercice (clos le 31 décembre </w:t>
      </w:r>
      <w:r w:rsidR="001D2AEF" w:rsidRPr="00A80BFD">
        <w:rPr>
          <w:rFonts w:ascii="Calibri" w:hAnsi="Calibri" w:cs="Calibri"/>
          <w:b/>
          <w:sz w:val="22"/>
          <w:szCs w:val="22"/>
        </w:rPr>
        <w:t>2024)</w:t>
      </w:r>
      <w:r w:rsidRPr="00A80BFD">
        <w:rPr>
          <w:rFonts w:ascii="Calibri" w:hAnsi="Calibri" w:cs="Calibri"/>
          <w:b/>
          <w:sz w:val="22"/>
          <w:szCs w:val="22"/>
        </w:rPr>
        <w:t xml:space="preserve"> </w:t>
      </w:r>
      <w:r w:rsidRPr="00A80BFD">
        <w:rPr>
          <w:rFonts w:ascii="Calibri" w:hAnsi="Calibri" w:cs="Calibri"/>
          <w:bCs/>
          <w:sz w:val="22"/>
          <w:szCs w:val="22"/>
        </w:rPr>
        <w:t>: 27 360 €</w:t>
      </w:r>
    </w:p>
    <w:p w14:paraId="108B3044" w14:textId="77777777" w:rsidR="0025342B" w:rsidRPr="0025342B" w:rsidRDefault="0025342B" w:rsidP="0025342B">
      <w:pPr>
        <w:overflowPunct w:val="0"/>
        <w:autoSpaceDE w:val="0"/>
        <w:autoSpaceDN w:val="0"/>
        <w:adjustRightInd w:val="0"/>
        <w:jc w:val="both"/>
        <w:textAlignment w:val="baseline"/>
        <w:rPr>
          <w:rFonts w:ascii="Calibri" w:hAnsi="Calibri" w:cs="Calibri"/>
          <w:sz w:val="22"/>
          <w:szCs w:val="22"/>
        </w:rPr>
      </w:pPr>
    </w:p>
    <w:p w14:paraId="46C76D0E" w14:textId="77777777" w:rsidR="0025342B" w:rsidRPr="0025342B" w:rsidRDefault="0025342B" w:rsidP="0025342B">
      <w:pPr>
        <w:overflowPunct w:val="0"/>
        <w:autoSpaceDE w:val="0"/>
        <w:autoSpaceDN w:val="0"/>
        <w:adjustRightInd w:val="0"/>
        <w:jc w:val="both"/>
        <w:textAlignment w:val="baseline"/>
        <w:rPr>
          <w:rFonts w:ascii="Calibri" w:hAnsi="Calibri" w:cs="Calibri"/>
          <w:b/>
          <w:sz w:val="22"/>
          <w:szCs w:val="22"/>
          <w:highlight w:val="yellow"/>
        </w:rPr>
      </w:pPr>
    </w:p>
    <w:p w14:paraId="378EA125" w14:textId="77777777" w:rsidR="00AA5855" w:rsidRPr="00AA5855" w:rsidRDefault="00AA5855">
      <w:pPr>
        <w:rPr>
          <w:rFonts w:ascii="Calibri" w:hAnsi="Calibri" w:cs="Calibri"/>
          <w:sz w:val="22"/>
          <w:szCs w:val="22"/>
        </w:rPr>
      </w:pPr>
    </w:p>
    <w:p w14:paraId="4534B7B4" w14:textId="54D16303" w:rsidR="00AA5855" w:rsidRPr="00AA5855" w:rsidRDefault="00AA5855" w:rsidP="00AA5855">
      <w:pPr>
        <w:spacing w:after="160" w:line="259" w:lineRule="auto"/>
        <w:rPr>
          <w:rFonts w:ascii="Calibri" w:hAnsi="Calibri" w:cs="Calibri"/>
          <w:sz w:val="22"/>
          <w:szCs w:val="22"/>
        </w:rPr>
      </w:pPr>
    </w:p>
    <w:p w14:paraId="12785A85" w14:textId="77777777" w:rsidR="00AA5855" w:rsidRPr="00AA5855" w:rsidRDefault="00AA5855" w:rsidP="00AA5855">
      <w:pPr>
        <w:jc w:val="both"/>
        <w:rPr>
          <w:rFonts w:ascii="Calibri" w:hAnsi="Calibri" w:cs="Calibri"/>
          <w:b/>
          <w:sz w:val="22"/>
          <w:szCs w:val="22"/>
        </w:rPr>
        <w:sectPr w:rsidR="00AA5855" w:rsidRPr="00AA5855" w:rsidSect="00651403">
          <w:footerReference w:type="default" r:id="rId8"/>
          <w:pgSz w:w="11907" w:h="16840"/>
          <w:pgMar w:top="567" w:right="1418" w:bottom="567" w:left="1418" w:header="720" w:footer="720" w:gutter="0"/>
          <w:cols w:space="720"/>
          <w:titlePg/>
          <w:docGrid w:linePitch="326"/>
        </w:sectPr>
      </w:pPr>
    </w:p>
    <w:sdt>
      <w:sdtPr>
        <w:rPr>
          <w:rFonts w:ascii="Calibri" w:eastAsia="Times New Roman" w:hAnsi="Calibri" w:cs="Calibri"/>
          <w:color w:val="auto"/>
          <w:sz w:val="22"/>
          <w:szCs w:val="22"/>
        </w:rPr>
        <w:id w:val="503171591"/>
        <w:docPartObj>
          <w:docPartGallery w:val="Table of Contents"/>
          <w:docPartUnique/>
        </w:docPartObj>
      </w:sdtPr>
      <w:sdtEndPr>
        <w:rPr>
          <w:b/>
          <w:bCs/>
        </w:rPr>
      </w:sdtEndPr>
      <w:sdtContent>
        <w:p w14:paraId="522C5E44" w14:textId="77777777" w:rsidR="00AA5855" w:rsidRPr="00C661F1" w:rsidRDefault="00AA5855" w:rsidP="00C661F1">
          <w:pPr>
            <w:pStyle w:val="En-ttedetabledesmatires"/>
            <w:spacing w:before="0"/>
            <w:jc w:val="center"/>
            <w:rPr>
              <w:rFonts w:ascii="Calibri" w:hAnsi="Calibri" w:cs="Calibri"/>
              <w:b/>
              <w:bCs/>
              <w:color w:val="0D0D0D" w:themeColor="text1" w:themeTint="F2"/>
              <w:sz w:val="22"/>
              <w:szCs w:val="22"/>
              <w:u w:val="single"/>
            </w:rPr>
          </w:pPr>
          <w:r w:rsidRPr="00C661F1">
            <w:rPr>
              <w:rFonts w:ascii="Calibri" w:hAnsi="Calibri" w:cs="Calibri"/>
              <w:b/>
              <w:bCs/>
              <w:color w:val="0D0D0D" w:themeColor="text1" w:themeTint="F2"/>
              <w:sz w:val="22"/>
              <w:szCs w:val="22"/>
              <w:u w:val="single"/>
            </w:rPr>
            <w:t>Table des matières</w:t>
          </w:r>
        </w:p>
        <w:p w14:paraId="5EDAFFC7" w14:textId="45626B20" w:rsidR="00BF72E8" w:rsidRDefault="007F0EDD">
          <w:pPr>
            <w:pStyle w:val="TM1"/>
            <w:rPr>
              <w:rFonts w:asciiTheme="minorHAnsi" w:eastAsiaTheme="minorEastAsia" w:hAnsiTheme="minorHAnsi" w:cstheme="minorBidi"/>
              <w:noProof/>
              <w:kern w:val="2"/>
              <w:sz w:val="24"/>
              <w:szCs w:val="24"/>
              <w14:ligatures w14:val="standardContextual"/>
            </w:rPr>
          </w:pPr>
          <w:r w:rsidRPr="00C661F1">
            <w:rPr>
              <w:rFonts w:ascii="Calibri" w:hAnsi="Calibri" w:cs="Calibri"/>
              <w:sz w:val="22"/>
              <w:szCs w:val="22"/>
            </w:rPr>
            <w:fldChar w:fldCharType="begin"/>
          </w:r>
          <w:r w:rsidRPr="00C661F1">
            <w:rPr>
              <w:rFonts w:ascii="Calibri" w:hAnsi="Calibri" w:cs="Calibri"/>
              <w:sz w:val="22"/>
              <w:szCs w:val="22"/>
            </w:rPr>
            <w:instrText xml:space="preserve"> TOC \o "1-3" \h \z \u </w:instrText>
          </w:r>
          <w:r w:rsidRPr="00C661F1">
            <w:rPr>
              <w:rFonts w:ascii="Calibri" w:hAnsi="Calibri" w:cs="Calibri"/>
              <w:sz w:val="22"/>
              <w:szCs w:val="22"/>
            </w:rPr>
            <w:fldChar w:fldCharType="separate"/>
          </w:r>
          <w:hyperlink w:anchor="_Toc222908283" w:history="1">
            <w:r w:rsidR="00BF72E8" w:rsidRPr="006A179C">
              <w:rPr>
                <w:rStyle w:val="Lienhypertexte"/>
                <w:rFonts w:ascii="Calibri" w:hAnsi="Calibri" w:cs="Calibri"/>
                <w:b/>
                <w:noProof/>
              </w:rPr>
              <w:t>1.</w:t>
            </w:r>
            <w:r w:rsidR="00BF72E8">
              <w:rPr>
                <w:rFonts w:asciiTheme="minorHAnsi" w:eastAsiaTheme="minorEastAsia" w:hAnsiTheme="minorHAnsi" w:cstheme="minorBidi"/>
                <w:noProof/>
                <w:kern w:val="2"/>
                <w:sz w:val="24"/>
                <w:szCs w:val="24"/>
                <w14:ligatures w14:val="standardContextual"/>
              </w:rPr>
              <w:tab/>
            </w:r>
            <w:r w:rsidR="00BF72E8" w:rsidRPr="006A179C">
              <w:rPr>
                <w:rStyle w:val="Lienhypertexte"/>
                <w:rFonts w:ascii="Calibri" w:hAnsi="Calibri" w:cs="Calibri"/>
                <w:b/>
                <w:noProof/>
              </w:rPr>
              <w:t>RAPPEL DE LA PROCEDURE</w:t>
            </w:r>
            <w:r w:rsidR="00BF72E8">
              <w:rPr>
                <w:noProof/>
                <w:webHidden/>
              </w:rPr>
              <w:tab/>
            </w:r>
            <w:r w:rsidR="00BF72E8">
              <w:rPr>
                <w:noProof/>
                <w:webHidden/>
              </w:rPr>
              <w:fldChar w:fldCharType="begin"/>
            </w:r>
            <w:r w:rsidR="00BF72E8">
              <w:rPr>
                <w:noProof/>
                <w:webHidden/>
              </w:rPr>
              <w:instrText xml:space="preserve"> PAGEREF _Toc222908283 \h </w:instrText>
            </w:r>
            <w:r w:rsidR="00BF72E8">
              <w:rPr>
                <w:noProof/>
                <w:webHidden/>
              </w:rPr>
            </w:r>
            <w:r w:rsidR="00BF72E8">
              <w:rPr>
                <w:noProof/>
                <w:webHidden/>
              </w:rPr>
              <w:fldChar w:fldCharType="separate"/>
            </w:r>
            <w:r w:rsidR="00BF72E8">
              <w:rPr>
                <w:noProof/>
                <w:webHidden/>
              </w:rPr>
              <w:t>3</w:t>
            </w:r>
            <w:r w:rsidR="00BF72E8">
              <w:rPr>
                <w:noProof/>
                <w:webHidden/>
              </w:rPr>
              <w:fldChar w:fldCharType="end"/>
            </w:r>
          </w:hyperlink>
        </w:p>
        <w:p w14:paraId="12936790" w14:textId="09BA5ED8"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84" w:history="1">
            <w:r w:rsidRPr="006A179C">
              <w:rPr>
                <w:rStyle w:val="Lienhypertexte"/>
                <w:rFonts w:ascii="Calibri" w:hAnsi="Calibri" w:cs="Calibri"/>
                <w:b/>
                <w:noProof/>
              </w:rPr>
              <w:t>2.</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PRESENTATION DE LA SOCIETE</w:t>
            </w:r>
            <w:r>
              <w:rPr>
                <w:noProof/>
                <w:webHidden/>
              </w:rPr>
              <w:tab/>
            </w:r>
            <w:r>
              <w:rPr>
                <w:noProof/>
                <w:webHidden/>
              </w:rPr>
              <w:fldChar w:fldCharType="begin"/>
            </w:r>
            <w:r>
              <w:rPr>
                <w:noProof/>
                <w:webHidden/>
              </w:rPr>
              <w:instrText xml:space="preserve"> PAGEREF _Toc222908284 \h </w:instrText>
            </w:r>
            <w:r>
              <w:rPr>
                <w:noProof/>
                <w:webHidden/>
              </w:rPr>
            </w:r>
            <w:r>
              <w:rPr>
                <w:noProof/>
                <w:webHidden/>
              </w:rPr>
              <w:fldChar w:fldCharType="separate"/>
            </w:r>
            <w:r>
              <w:rPr>
                <w:noProof/>
                <w:webHidden/>
              </w:rPr>
              <w:t>4</w:t>
            </w:r>
            <w:r>
              <w:rPr>
                <w:noProof/>
                <w:webHidden/>
              </w:rPr>
              <w:fldChar w:fldCharType="end"/>
            </w:r>
          </w:hyperlink>
        </w:p>
        <w:p w14:paraId="3BF8B2DD" w14:textId="05F8A5CD"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85" w:history="1">
            <w:r w:rsidRPr="006A179C">
              <w:rPr>
                <w:rStyle w:val="Lienhypertexte"/>
                <w:rFonts w:ascii="Calibri" w:hAnsi="Calibri" w:cs="Calibri"/>
                <w:b/>
                <w:noProof/>
              </w:rPr>
              <w:t>2.1.</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Organigramme du groupe auquel appartient SCI Tolbiac</w:t>
            </w:r>
            <w:r>
              <w:rPr>
                <w:noProof/>
                <w:webHidden/>
              </w:rPr>
              <w:tab/>
            </w:r>
            <w:r>
              <w:rPr>
                <w:noProof/>
                <w:webHidden/>
              </w:rPr>
              <w:fldChar w:fldCharType="begin"/>
            </w:r>
            <w:r>
              <w:rPr>
                <w:noProof/>
                <w:webHidden/>
              </w:rPr>
              <w:instrText xml:space="preserve"> PAGEREF _Toc222908285 \h </w:instrText>
            </w:r>
            <w:r>
              <w:rPr>
                <w:noProof/>
                <w:webHidden/>
              </w:rPr>
            </w:r>
            <w:r>
              <w:rPr>
                <w:noProof/>
                <w:webHidden/>
              </w:rPr>
              <w:fldChar w:fldCharType="separate"/>
            </w:r>
            <w:r>
              <w:rPr>
                <w:noProof/>
                <w:webHidden/>
              </w:rPr>
              <w:t>4</w:t>
            </w:r>
            <w:r>
              <w:rPr>
                <w:noProof/>
                <w:webHidden/>
              </w:rPr>
              <w:fldChar w:fldCharType="end"/>
            </w:r>
          </w:hyperlink>
        </w:p>
        <w:p w14:paraId="4EF2A0ED" w14:textId="469F0213"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86" w:history="1">
            <w:r w:rsidRPr="006A179C">
              <w:rPr>
                <w:rStyle w:val="Lienhypertexte"/>
                <w:rFonts w:ascii="Calibri" w:hAnsi="Calibri" w:cs="Calibri"/>
                <w:b/>
                <w:noProof/>
              </w:rPr>
              <w:t>2.2.</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Fiche synthétique de la Société</w:t>
            </w:r>
            <w:r>
              <w:rPr>
                <w:noProof/>
                <w:webHidden/>
              </w:rPr>
              <w:tab/>
            </w:r>
            <w:r>
              <w:rPr>
                <w:noProof/>
                <w:webHidden/>
              </w:rPr>
              <w:fldChar w:fldCharType="begin"/>
            </w:r>
            <w:r>
              <w:rPr>
                <w:noProof/>
                <w:webHidden/>
              </w:rPr>
              <w:instrText xml:space="preserve"> PAGEREF _Toc222908286 \h </w:instrText>
            </w:r>
            <w:r>
              <w:rPr>
                <w:noProof/>
                <w:webHidden/>
              </w:rPr>
            </w:r>
            <w:r>
              <w:rPr>
                <w:noProof/>
                <w:webHidden/>
              </w:rPr>
              <w:fldChar w:fldCharType="separate"/>
            </w:r>
            <w:r>
              <w:rPr>
                <w:noProof/>
                <w:webHidden/>
              </w:rPr>
              <w:t>6</w:t>
            </w:r>
            <w:r>
              <w:rPr>
                <w:noProof/>
                <w:webHidden/>
              </w:rPr>
              <w:fldChar w:fldCharType="end"/>
            </w:r>
          </w:hyperlink>
        </w:p>
        <w:p w14:paraId="4D14795E" w14:textId="17CF9B64"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87" w:history="1">
            <w:r w:rsidRPr="006A179C">
              <w:rPr>
                <w:rStyle w:val="Lienhypertexte"/>
                <w:rFonts w:ascii="Calibri" w:hAnsi="Calibri" w:cs="Calibri"/>
                <w:b/>
                <w:noProof/>
              </w:rPr>
              <w:t>2.3.</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Présentation de l’activité du Groupe et de la Société</w:t>
            </w:r>
            <w:r>
              <w:rPr>
                <w:noProof/>
                <w:webHidden/>
              </w:rPr>
              <w:tab/>
            </w:r>
            <w:r>
              <w:rPr>
                <w:noProof/>
                <w:webHidden/>
              </w:rPr>
              <w:fldChar w:fldCharType="begin"/>
            </w:r>
            <w:r>
              <w:rPr>
                <w:noProof/>
                <w:webHidden/>
              </w:rPr>
              <w:instrText xml:space="preserve"> PAGEREF _Toc222908287 \h </w:instrText>
            </w:r>
            <w:r>
              <w:rPr>
                <w:noProof/>
                <w:webHidden/>
              </w:rPr>
            </w:r>
            <w:r>
              <w:rPr>
                <w:noProof/>
                <w:webHidden/>
              </w:rPr>
              <w:fldChar w:fldCharType="separate"/>
            </w:r>
            <w:r>
              <w:rPr>
                <w:noProof/>
                <w:webHidden/>
              </w:rPr>
              <w:t>7</w:t>
            </w:r>
            <w:r>
              <w:rPr>
                <w:noProof/>
                <w:webHidden/>
              </w:rPr>
              <w:fldChar w:fldCharType="end"/>
            </w:r>
          </w:hyperlink>
        </w:p>
        <w:p w14:paraId="2580D9C0" w14:textId="2DA6AADF"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88" w:history="1">
            <w:r w:rsidRPr="006A179C">
              <w:rPr>
                <w:rStyle w:val="Lienhypertexte"/>
                <w:rFonts w:ascii="Calibri" w:hAnsi="Calibri" w:cs="Calibri"/>
                <w:b/>
                <w:noProof/>
              </w:rPr>
              <w:t>2.3.1.</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bCs/>
                <w:iCs/>
                <w:noProof/>
              </w:rPr>
              <w:t>Présentation de l’activité du Groupe</w:t>
            </w:r>
            <w:r>
              <w:rPr>
                <w:noProof/>
                <w:webHidden/>
              </w:rPr>
              <w:tab/>
            </w:r>
            <w:r>
              <w:rPr>
                <w:noProof/>
                <w:webHidden/>
              </w:rPr>
              <w:fldChar w:fldCharType="begin"/>
            </w:r>
            <w:r>
              <w:rPr>
                <w:noProof/>
                <w:webHidden/>
              </w:rPr>
              <w:instrText xml:space="preserve"> PAGEREF _Toc222908288 \h </w:instrText>
            </w:r>
            <w:r>
              <w:rPr>
                <w:noProof/>
                <w:webHidden/>
              </w:rPr>
            </w:r>
            <w:r>
              <w:rPr>
                <w:noProof/>
                <w:webHidden/>
              </w:rPr>
              <w:fldChar w:fldCharType="separate"/>
            </w:r>
            <w:r>
              <w:rPr>
                <w:noProof/>
                <w:webHidden/>
              </w:rPr>
              <w:t>7</w:t>
            </w:r>
            <w:r>
              <w:rPr>
                <w:noProof/>
                <w:webHidden/>
              </w:rPr>
              <w:fldChar w:fldCharType="end"/>
            </w:r>
          </w:hyperlink>
        </w:p>
        <w:p w14:paraId="5B2E62FB" w14:textId="0E8957E0"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89" w:history="1">
            <w:r w:rsidRPr="006A179C">
              <w:rPr>
                <w:rStyle w:val="Lienhypertexte"/>
                <w:rFonts w:ascii="Calibri" w:hAnsi="Calibri" w:cs="Calibri"/>
                <w:b/>
                <w:bCs/>
                <w:iCs/>
                <w:noProof/>
              </w:rPr>
              <w:t>2.3.2.</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bCs/>
                <w:iCs/>
                <w:noProof/>
              </w:rPr>
              <w:t>Présentation de l’activité de la société SCI Tolbiac</w:t>
            </w:r>
            <w:r>
              <w:rPr>
                <w:noProof/>
                <w:webHidden/>
              </w:rPr>
              <w:tab/>
            </w:r>
            <w:r>
              <w:rPr>
                <w:noProof/>
                <w:webHidden/>
              </w:rPr>
              <w:fldChar w:fldCharType="begin"/>
            </w:r>
            <w:r>
              <w:rPr>
                <w:noProof/>
                <w:webHidden/>
              </w:rPr>
              <w:instrText xml:space="preserve"> PAGEREF _Toc222908289 \h </w:instrText>
            </w:r>
            <w:r>
              <w:rPr>
                <w:noProof/>
                <w:webHidden/>
              </w:rPr>
            </w:r>
            <w:r>
              <w:rPr>
                <w:noProof/>
                <w:webHidden/>
              </w:rPr>
              <w:fldChar w:fldCharType="separate"/>
            </w:r>
            <w:r>
              <w:rPr>
                <w:noProof/>
                <w:webHidden/>
              </w:rPr>
              <w:t>7</w:t>
            </w:r>
            <w:r>
              <w:rPr>
                <w:noProof/>
                <w:webHidden/>
              </w:rPr>
              <w:fldChar w:fldCharType="end"/>
            </w:r>
          </w:hyperlink>
        </w:p>
        <w:p w14:paraId="1D9814EC" w14:textId="134C670A"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0" w:history="1">
            <w:r w:rsidRPr="006A179C">
              <w:rPr>
                <w:rStyle w:val="Lienhypertexte"/>
                <w:rFonts w:ascii="Calibri" w:hAnsi="Calibri" w:cs="Calibri"/>
                <w:b/>
                <w:noProof/>
              </w:rPr>
              <w:t>3.</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ORIGINE DES DIFFICULTES</w:t>
            </w:r>
            <w:r>
              <w:rPr>
                <w:noProof/>
                <w:webHidden/>
              </w:rPr>
              <w:tab/>
            </w:r>
            <w:r>
              <w:rPr>
                <w:noProof/>
                <w:webHidden/>
              </w:rPr>
              <w:fldChar w:fldCharType="begin"/>
            </w:r>
            <w:r>
              <w:rPr>
                <w:noProof/>
                <w:webHidden/>
              </w:rPr>
              <w:instrText xml:space="preserve"> PAGEREF _Toc222908290 \h </w:instrText>
            </w:r>
            <w:r>
              <w:rPr>
                <w:noProof/>
                <w:webHidden/>
              </w:rPr>
            </w:r>
            <w:r>
              <w:rPr>
                <w:noProof/>
                <w:webHidden/>
              </w:rPr>
              <w:fldChar w:fldCharType="separate"/>
            </w:r>
            <w:r>
              <w:rPr>
                <w:noProof/>
                <w:webHidden/>
              </w:rPr>
              <w:t>8</w:t>
            </w:r>
            <w:r>
              <w:rPr>
                <w:noProof/>
                <w:webHidden/>
              </w:rPr>
              <w:fldChar w:fldCharType="end"/>
            </w:r>
          </w:hyperlink>
        </w:p>
        <w:p w14:paraId="6E675E20" w14:textId="74EA11C9"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1" w:history="1">
            <w:r w:rsidRPr="006A179C">
              <w:rPr>
                <w:rStyle w:val="Lienhypertexte"/>
                <w:rFonts w:ascii="Calibri" w:hAnsi="Calibri" w:cs="Calibri"/>
                <w:b/>
                <w:noProof/>
              </w:rPr>
              <w:t>4.</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RESULTATS FINANCIERS</w:t>
            </w:r>
            <w:r>
              <w:rPr>
                <w:noProof/>
                <w:webHidden/>
              </w:rPr>
              <w:tab/>
            </w:r>
            <w:r>
              <w:rPr>
                <w:noProof/>
                <w:webHidden/>
              </w:rPr>
              <w:fldChar w:fldCharType="begin"/>
            </w:r>
            <w:r>
              <w:rPr>
                <w:noProof/>
                <w:webHidden/>
              </w:rPr>
              <w:instrText xml:space="preserve"> PAGEREF _Toc222908291 \h </w:instrText>
            </w:r>
            <w:r>
              <w:rPr>
                <w:noProof/>
                <w:webHidden/>
              </w:rPr>
            </w:r>
            <w:r>
              <w:rPr>
                <w:noProof/>
                <w:webHidden/>
              </w:rPr>
              <w:fldChar w:fldCharType="separate"/>
            </w:r>
            <w:r>
              <w:rPr>
                <w:noProof/>
                <w:webHidden/>
              </w:rPr>
              <w:t>8</w:t>
            </w:r>
            <w:r>
              <w:rPr>
                <w:noProof/>
                <w:webHidden/>
              </w:rPr>
              <w:fldChar w:fldCharType="end"/>
            </w:r>
          </w:hyperlink>
        </w:p>
        <w:p w14:paraId="0E92DAE7" w14:textId="29B977F0"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2" w:history="1">
            <w:r w:rsidRPr="006A179C">
              <w:rPr>
                <w:rStyle w:val="Lienhypertexte"/>
                <w:rFonts w:ascii="Calibri" w:hAnsi="Calibri" w:cs="Calibri"/>
                <w:b/>
                <w:noProof/>
              </w:rPr>
              <w:t>5.</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EFFECTIF</w:t>
            </w:r>
            <w:r>
              <w:rPr>
                <w:noProof/>
                <w:webHidden/>
              </w:rPr>
              <w:tab/>
            </w:r>
            <w:r>
              <w:rPr>
                <w:noProof/>
                <w:webHidden/>
              </w:rPr>
              <w:fldChar w:fldCharType="begin"/>
            </w:r>
            <w:r>
              <w:rPr>
                <w:noProof/>
                <w:webHidden/>
              </w:rPr>
              <w:instrText xml:space="preserve"> PAGEREF _Toc222908292 \h </w:instrText>
            </w:r>
            <w:r>
              <w:rPr>
                <w:noProof/>
                <w:webHidden/>
              </w:rPr>
            </w:r>
            <w:r>
              <w:rPr>
                <w:noProof/>
                <w:webHidden/>
              </w:rPr>
              <w:fldChar w:fldCharType="separate"/>
            </w:r>
            <w:r>
              <w:rPr>
                <w:noProof/>
                <w:webHidden/>
              </w:rPr>
              <w:t>8</w:t>
            </w:r>
            <w:r>
              <w:rPr>
                <w:noProof/>
                <w:webHidden/>
              </w:rPr>
              <w:fldChar w:fldCharType="end"/>
            </w:r>
          </w:hyperlink>
        </w:p>
        <w:p w14:paraId="32E48B56" w14:textId="31CAEB6B"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3" w:history="1">
            <w:r w:rsidRPr="006A179C">
              <w:rPr>
                <w:rStyle w:val="Lienhypertexte"/>
                <w:rFonts w:ascii="Calibri" w:hAnsi="Calibri" w:cs="Calibri"/>
                <w:b/>
                <w:noProof/>
              </w:rPr>
              <w:t>6.</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DETAIL DU PASSIF A APURER DANS LE CADRE DU PLAN DE REDRESSEMENT</w:t>
            </w:r>
            <w:r>
              <w:rPr>
                <w:noProof/>
                <w:webHidden/>
              </w:rPr>
              <w:tab/>
            </w:r>
            <w:r>
              <w:rPr>
                <w:noProof/>
                <w:webHidden/>
              </w:rPr>
              <w:fldChar w:fldCharType="begin"/>
            </w:r>
            <w:r>
              <w:rPr>
                <w:noProof/>
                <w:webHidden/>
              </w:rPr>
              <w:instrText xml:space="preserve"> PAGEREF _Toc222908293 \h </w:instrText>
            </w:r>
            <w:r>
              <w:rPr>
                <w:noProof/>
                <w:webHidden/>
              </w:rPr>
            </w:r>
            <w:r>
              <w:rPr>
                <w:noProof/>
                <w:webHidden/>
              </w:rPr>
              <w:fldChar w:fldCharType="separate"/>
            </w:r>
            <w:r>
              <w:rPr>
                <w:noProof/>
                <w:webHidden/>
              </w:rPr>
              <w:t>8</w:t>
            </w:r>
            <w:r>
              <w:rPr>
                <w:noProof/>
                <w:webHidden/>
              </w:rPr>
              <w:fldChar w:fldCharType="end"/>
            </w:r>
          </w:hyperlink>
        </w:p>
        <w:p w14:paraId="04C23DA9" w14:textId="76D944C4"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4" w:history="1">
            <w:r w:rsidRPr="006A179C">
              <w:rPr>
                <w:rStyle w:val="Lienhypertexte"/>
                <w:rFonts w:ascii="Calibri" w:hAnsi="Calibri" w:cs="Calibri"/>
                <w:b/>
                <w:noProof/>
              </w:rPr>
              <w:t>7.</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DEROULEMENT DE LA PERIODE D’OBSERVATION</w:t>
            </w:r>
            <w:r>
              <w:rPr>
                <w:noProof/>
                <w:webHidden/>
              </w:rPr>
              <w:tab/>
            </w:r>
            <w:r>
              <w:rPr>
                <w:noProof/>
                <w:webHidden/>
              </w:rPr>
              <w:fldChar w:fldCharType="begin"/>
            </w:r>
            <w:r>
              <w:rPr>
                <w:noProof/>
                <w:webHidden/>
              </w:rPr>
              <w:instrText xml:space="preserve"> PAGEREF _Toc222908294 \h </w:instrText>
            </w:r>
            <w:r>
              <w:rPr>
                <w:noProof/>
                <w:webHidden/>
              </w:rPr>
            </w:r>
            <w:r>
              <w:rPr>
                <w:noProof/>
                <w:webHidden/>
              </w:rPr>
              <w:fldChar w:fldCharType="separate"/>
            </w:r>
            <w:r>
              <w:rPr>
                <w:noProof/>
                <w:webHidden/>
              </w:rPr>
              <w:t>10</w:t>
            </w:r>
            <w:r>
              <w:rPr>
                <w:noProof/>
                <w:webHidden/>
              </w:rPr>
              <w:fldChar w:fldCharType="end"/>
            </w:r>
          </w:hyperlink>
        </w:p>
        <w:p w14:paraId="2AC42096" w14:textId="367C7914"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5" w:history="1">
            <w:r w:rsidRPr="006A179C">
              <w:rPr>
                <w:rStyle w:val="Lienhypertexte"/>
                <w:rFonts w:ascii="Calibri" w:hAnsi="Calibri" w:cs="Calibri"/>
                <w:b/>
                <w:noProof/>
              </w:rPr>
              <w:t>8.</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PRINCIPES DIRECTEURS COMMUNS AUXS PROJETS DE PLAN DE REDRESSEMENT PRESENTES PAR LES SOCIETES DU GROUPE</w:t>
            </w:r>
            <w:r>
              <w:rPr>
                <w:noProof/>
                <w:webHidden/>
              </w:rPr>
              <w:tab/>
            </w:r>
            <w:r>
              <w:rPr>
                <w:noProof/>
                <w:webHidden/>
              </w:rPr>
              <w:fldChar w:fldCharType="begin"/>
            </w:r>
            <w:r>
              <w:rPr>
                <w:noProof/>
                <w:webHidden/>
              </w:rPr>
              <w:instrText xml:space="preserve"> PAGEREF _Toc222908295 \h </w:instrText>
            </w:r>
            <w:r>
              <w:rPr>
                <w:noProof/>
                <w:webHidden/>
              </w:rPr>
            </w:r>
            <w:r>
              <w:rPr>
                <w:noProof/>
                <w:webHidden/>
              </w:rPr>
              <w:fldChar w:fldCharType="separate"/>
            </w:r>
            <w:r>
              <w:rPr>
                <w:noProof/>
                <w:webHidden/>
              </w:rPr>
              <w:t>13</w:t>
            </w:r>
            <w:r>
              <w:rPr>
                <w:noProof/>
                <w:webHidden/>
              </w:rPr>
              <w:fldChar w:fldCharType="end"/>
            </w:r>
          </w:hyperlink>
        </w:p>
        <w:p w14:paraId="4122EA11" w14:textId="3E664FFD"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6" w:history="1">
            <w:r w:rsidRPr="006A179C">
              <w:rPr>
                <w:rStyle w:val="Lienhypertexte"/>
                <w:rFonts w:ascii="Calibri" w:hAnsi="Calibri" w:cs="Calibri"/>
                <w:b/>
                <w:noProof/>
              </w:rPr>
              <w:t>9.</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PREVISION D’EXPLOITATION SUR LA DUREE DU PROJET DE PLAN DE REDRESSEMENT</w:t>
            </w:r>
            <w:r>
              <w:rPr>
                <w:noProof/>
                <w:webHidden/>
              </w:rPr>
              <w:tab/>
            </w:r>
            <w:r>
              <w:rPr>
                <w:noProof/>
                <w:webHidden/>
              </w:rPr>
              <w:fldChar w:fldCharType="begin"/>
            </w:r>
            <w:r>
              <w:rPr>
                <w:noProof/>
                <w:webHidden/>
              </w:rPr>
              <w:instrText xml:space="preserve"> PAGEREF _Toc222908296 \h </w:instrText>
            </w:r>
            <w:r>
              <w:rPr>
                <w:noProof/>
                <w:webHidden/>
              </w:rPr>
            </w:r>
            <w:r>
              <w:rPr>
                <w:noProof/>
                <w:webHidden/>
              </w:rPr>
              <w:fldChar w:fldCharType="separate"/>
            </w:r>
            <w:r>
              <w:rPr>
                <w:noProof/>
                <w:webHidden/>
              </w:rPr>
              <w:t>18</w:t>
            </w:r>
            <w:r>
              <w:rPr>
                <w:noProof/>
                <w:webHidden/>
              </w:rPr>
              <w:fldChar w:fldCharType="end"/>
            </w:r>
          </w:hyperlink>
        </w:p>
        <w:p w14:paraId="737A6444" w14:textId="7DB4CF99"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297" w:history="1">
            <w:r w:rsidRPr="006A179C">
              <w:rPr>
                <w:rStyle w:val="Lienhypertexte"/>
                <w:rFonts w:ascii="Calibri" w:hAnsi="Calibri" w:cs="Calibri"/>
                <w:b/>
                <w:noProof/>
              </w:rPr>
              <w:t>10.</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MODALITES D’APUREMENT DU PASSIF PROPOSEES</w:t>
            </w:r>
            <w:r>
              <w:rPr>
                <w:noProof/>
                <w:webHidden/>
              </w:rPr>
              <w:tab/>
            </w:r>
            <w:r>
              <w:rPr>
                <w:noProof/>
                <w:webHidden/>
              </w:rPr>
              <w:fldChar w:fldCharType="begin"/>
            </w:r>
            <w:r>
              <w:rPr>
                <w:noProof/>
                <w:webHidden/>
              </w:rPr>
              <w:instrText xml:space="preserve"> PAGEREF _Toc222908297 \h </w:instrText>
            </w:r>
            <w:r>
              <w:rPr>
                <w:noProof/>
                <w:webHidden/>
              </w:rPr>
            </w:r>
            <w:r>
              <w:rPr>
                <w:noProof/>
                <w:webHidden/>
              </w:rPr>
              <w:fldChar w:fldCharType="separate"/>
            </w:r>
            <w:r>
              <w:rPr>
                <w:noProof/>
                <w:webHidden/>
              </w:rPr>
              <w:t>20</w:t>
            </w:r>
            <w:r>
              <w:rPr>
                <w:noProof/>
                <w:webHidden/>
              </w:rPr>
              <w:fldChar w:fldCharType="end"/>
            </w:r>
          </w:hyperlink>
        </w:p>
        <w:p w14:paraId="39657998" w14:textId="6E15866B"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98" w:history="1">
            <w:r w:rsidRPr="006A179C">
              <w:rPr>
                <w:rStyle w:val="Lienhypertexte"/>
                <w:rFonts w:ascii="Calibri" w:hAnsi="Calibri" w:cs="Calibri"/>
                <w:b/>
                <w:noProof/>
              </w:rPr>
              <w:t>10.1.</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Créances relevant des dispositions de l’article L. 622-17 du code de commerce</w:t>
            </w:r>
            <w:r>
              <w:rPr>
                <w:noProof/>
                <w:webHidden/>
              </w:rPr>
              <w:tab/>
            </w:r>
            <w:r>
              <w:rPr>
                <w:noProof/>
                <w:webHidden/>
              </w:rPr>
              <w:fldChar w:fldCharType="begin"/>
            </w:r>
            <w:r>
              <w:rPr>
                <w:noProof/>
                <w:webHidden/>
              </w:rPr>
              <w:instrText xml:space="preserve"> PAGEREF _Toc222908298 \h </w:instrText>
            </w:r>
            <w:r>
              <w:rPr>
                <w:noProof/>
                <w:webHidden/>
              </w:rPr>
            </w:r>
            <w:r>
              <w:rPr>
                <w:noProof/>
                <w:webHidden/>
              </w:rPr>
              <w:fldChar w:fldCharType="separate"/>
            </w:r>
            <w:r>
              <w:rPr>
                <w:noProof/>
                <w:webHidden/>
              </w:rPr>
              <w:t>20</w:t>
            </w:r>
            <w:r>
              <w:rPr>
                <w:noProof/>
                <w:webHidden/>
              </w:rPr>
              <w:fldChar w:fldCharType="end"/>
            </w:r>
          </w:hyperlink>
        </w:p>
        <w:p w14:paraId="04F67D7C" w14:textId="0E5661CB"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299" w:history="1">
            <w:r w:rsidRPr="006A179C">
              <w:rPr>
                <w:rStyle w:val="Lienhypertexte"/>
                <w:rFonts w:ascii="Calibri" w:hAnsi="Calibri" w:cs="Calibri"/>
                <w:b/>
                <w:noProof/>
              </w:rPr>
              <w:t>10.2.</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Créances d’un montant maximal de 500 euros (338,59€)</w:t>
            </w:r>
            <w:r>
              <w:rPr>
                <w:noProof/>
                <w:webHidden/>
              </w:rPr>
              <w:tab/>
            </w:r>
            <w:r>
              <w:rPr>
                <w:noProof/>
                <w:webHidden/>
              </w:rPr>
              <w:fldChar w:fldCharType="begin"/>
            </w:r>
            <w:r>
              <w:rPr>
                <w:noProof/>
                <w:webHidden/>
              </w:rPr>
              <w:instrText xml:space="preserve"> PAGEREF _Toc222908299 \h </w:instrText>
            </w:r>
            <w:r>
              <w:rPr>
                <w:noProof/>
                <w:webHidden/>
              </w:rPr>
            </w:r>
            <w:r>
              <w:rPr>
                <w:noProof/>
                <w:webHidden/>
              </w:rPr>
              <w:fldChar w:fldCharType="separate"/>
            </w:r>
            <w:r>
              <w:rPr>
                <w:noProof/>
                <w:webHidden/>
              </w:rPr>
              <w:t>20</w:t>
            </w:r>
            <w:r>
              <w:rPr>
                <w:noProof/>
                <w:webHidden/>
              </w:rPr>
              <w:fldChar w:fldCharType="end"/>
            </w:r>
          </w:hyperlink>
        </w:p>
        <w:p w14:paraId="7F38B989" w14:textId="44D77EC1"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300" w:history="1">
            <w:r w:rsidRPr="006A179C">
              <w:rPr>
                <w:rStyle w:val="Lienhypertexte"/>
                <w:rFonts w:ascii="Calibri" w:hAnsi="Calibri" w:cs="Calibri"/>
                <w:b/>
                <w:noProof/>
              </w:rPr>
              <w:t>10.3.</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Créances litigieuses</w:t>
            </w:r>
            <w:r>
              <w:rPr>
                <w:noProof/>
                <w:webHidden/>
              </w:rPr>
              <w:tab/>
            </w:r>
            <w:r>
              <w:rPr>
                <w:noProof/>
                <w:webHidden/>
              </w:rPr>
              <w:fldChar w:fldCharType="begin"/>
            </w:r>
            <w:r>
              <w:rPr>
                <w:noProof/>
                <w:webHidden/>
              </w:rPr>
              <w:instrText xml:space="preserve"> PAGEREF _Toc222908300 \h </w:instrText>
            </w:r>
            <w:r>
              <w:rPr>
                <w:noProof/>
                <w:webHidden/>
              </w:rPr>
            </w:r>
            <w:r>
              <w:rPr>
                <w:noProof/>
                <w:webHidden/>
              </w:rPr>
              <w:fldChar w:fldCharType="separate"/>
            </w:r>
            <w:r>
              <w:rPr>
                <w:noProof/>
                <w:webHidden/>
              </w:rPr>
              <w:t>20</w:t>
            </w:r>
            <w:r>
              <w:rPr>
                <w:noProof/>
                <w:webHidden/>
              </w:rPr>
              <w:fldChar w:fldCharType="end"/>
            </w:r>
          </w:hyperlink>
        </w:p>
        <w:p w14:paraId="3E32C584" w14:textId="515E5DA2"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301" w:history="1">
            <w:r w:rsidRPr="006A179C">
              <w:rPr>
                <w:rStyle w:val="Lienhypertexte"/>
                <w:rFonts w:ascii="Calibri" w:hAnsi="Calibri" w:cs="Calibri"/>
                <w:b/>
                <w:noProof/>
              </w:rPr>
              <w:t>10.4.</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Créances intragroupes (2 450 €)</w:t>
            </w:r>
            <w:r>
              <w:rPr>
                <w:noProof/>
                <w:webHidden/>
              </w:rPr>
              <w:tab/>
            </w:r>
            <w:r>
              <w:rPr>
                <w:noProof/>
                <w:webHidden/>
              </w:rPr>
              <w:fldChar w:fldCharType="begin"/>
            </w:r>
            <w:r>
              <w:rPr>
                <w:noProof/>
                <w:webHidden/>
              </w:rPr>
              <w:instrText xml:space="preserve"> PAGEREF _Toc222908301 \h </w:instrText>
            </w:r>
            <w:r>
              <w:rPr>
                <w:noProof/>
                <w:webHidden/>
              </w:rPr>
            </w:r>
            <w:r>
              <w:rPr>
                <w:noProof/>
                <w:webHidden/>
              </w:rPr>
              <w:fldChar w:fldCharType="separate"/>
            </w:r>
            <w:r>
              <w:rPr>
                <w:noProof/>
                <w:webHidden/>
              </w:rPr>
              <w:t>20</w:t>
            </w:r>
            <w:r>
              <w:rPr>
                <w:noProof/>
                <w:webHidden/>
              </w:rPr>
              <w:fldChar w:fldCharType="end"/>
            </w:r>
          </w:hyperlink>
        </w:p>
        <w:p w14:paraId="3CD01F76" w14:textId="6E17FAF5"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302" w:history="1">
            <w:r w:rsidRPr="006A179C">
              <w:rPr>
                <w:rStyle w:val="Lienhypertexte"/>
                <w:rFonts w:ascii="Calibri" w:hAnsi="Calibri" w:cs="Calibri"/>
                <w:b/>
                <w:noProof/>
              </w:rPr>
              <w:t>10.5.</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Créances fiscales</w:t>
            </w:r>
            <w:r>
              <w:rPr>
                <w:noProof/>
                <w:webHidden/>
              </w:rPr>
              <w:tab/>
            </w:r>
            <w:r>
              <w:rPr>
                <w:noProof/>
                <w:webHidden/>
              </w:rPr>
              <w:fldChar w:fldCharType="begin"/>
            </w:r>
            <w:r>
              <w:rPr>
                <w:noProof/>
                <w:webHidden/>
              </w:rPr>
              <w:instrText xml:space="preserve"> PAGEREF _Toc222908302 \h </w:instrText>
            </w:r>
            <w:r>
              <w:rPr>
                <w:noProof/>
                <w:webHidden/>
              </w:rPr>
            </w:r>
            <w:r>
              <w:rPr>
                <w:noProof/>
                <w:webHidden/>
              </w:rPr>
              <w:fldChar w:fldCharType="separate"/>
            </w:r>
            <w:r>
              <w:rPr>
                <w:noProof/>
                <w:webHidden/>
              </w:rPr>
              <w:t>20</w:t>
            </w:r>
            <w:r>
              <w:rPr>
                <w:noProof/>
                <w:webHidden/>
              </w:rPr>
              <w:fldChar w:fldCharType="end"/>
            </w:r>
          </w:hyperlink>
        </w:p>
        <w:p w14:paraId="1753C8C9" w14:textId="062F7963" w:rsidR="00BF72E8" w:rsidRDefault="00BF72E8">
          <w:pPr>
            <w:pStyle w:val="TM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2908303" w:history="1">
            <w:r w:rsidRPr="006A179C">
              <w:rPr>
                <w:rStyle w:val="Lienhypertexte"/>
                <w:rFonts w:ascii="Calibri" w:hAnsi="Calibri" w:cs="Calibri"/>
                <w:b/>
                <w:noProof/>
              </w:rPr>
              <w:t>10.6.</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Autres créances privilégiées et chirographaires (173 197,97 € hors intérêts à échoir)</w:t>
            </w:r>
            <w:r>
              <w:rPr>
                <w:noProof/>
                <w:webHidden/>
              </w:rPr>
              <w:tab/>
            </w:r>
            <w:r>
              <w:rPr>
                <w:noProof/>
                <w:webHidden/>
              </w:rPr>
              <w:fldChar w:fldCharType="begin"/>
            </w:r>
            <w:r>
              <w:rPr>
                <w:noProof/>
                <w:webHidden/>
              </w:rPr>
              <w:instrText xml:space="preserve"> PAGEREF _Toc222908303 \h </w:instrText>
            </w:r>
            <w:r>
              <w:rPr>
                <w:noProof/>
                <w:webHidden/>
              </w:rPr>
            </w:r>
            <w:r>
              <w:rPr>
                <w:noProof/>
                <w:webHidden/>
              </w:rPr>
              <w:fldChar w:fldCharType="separate"/>
            </w:r>
            <w:r>
              <w:rPr>
                <w:noProof/>
                <w:webHidden/>
              </w:rPr>
              <w:t>21</w:t>
            </w:r>
            <w:r>
              <w:rPr>
                <w:noProof/>
                <w:webHidden/>
              </w:rPr>
              <w:fldChar w:fldCharType="end"/>
            </w:r>
          </w:hyperlink>
        </w:p>
        <w:p w14:paraId="044A9579" w14:textId="3BE10643"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4" w:history="1">
            <w:r w:rsidRPr="006A179C">
              <w:rPr>
                <w:rStyle w:val="Lienhypertexte"/>
                <w:rFonts w:ascii="Calibri" w:hAnsi="Calibri" w:cs="Calibri"/>
                <w:b/>
                <w:noProof/>
              </w:rPr>
              <w:t>11.</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PREVISION DE TRESORERIE SUR LA DUREE DU PROJET DE PLAN</w:t>
            </w:r>
            <w:r>
              <w:rPr>
                <w:noProof/>
                <w:webHidden/>
              </w:rPr>
              <w:tab/>
            </w:r>
            <w:r>
              <w:rPr>
                <w:noProof/>
                <w:webHidden/>
              </w:rPr>
              <w:fldChar w:fldCharType="begin"/>
            </w:r>
            <w:r>
              <w:rPr>
                <w:noProof/>
                <w:webHidden/>
              </w:rPr>
              <w:instrText xml:space="preserve"> PAGEREF _Toc222908304 \h </w:instrText>
            </w:r>
            <w:r>
              <w:rPr>
                <w:noProof/>
                <w:webHidden/>
              </w:rPr>
            </w:r>
            <w:r>
              <w:rPr>
                <w:noProof/>
                <w:webHidden/>
              </w:rPr>
              <w:fldChar w:fldCharType="separate"/>
            </w:r>
            <w:r>
              <w:rPr>
                <w:noProof/>
                <w:webHidden/>
              </w:rPr>
              <w:t>22</w:t>
            </w:r>
            <w:r>
              <w:rPr>
                <w:noProof/>
                <w:webHidden/>
              </w:rPr>
              <w:fldChar w:fldCharType="end"/>
            </w:r>
          </w:hyperlink>
        </w:p>
        <w:p w14:paraId="3C54FD40" w14:textId="777D9EB3"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5" w:history="1">
            <w:r w:rsidRPr="006A179C">
              <w:rPr>
                <w:rStyle w:val="Lienhypertexte"/>
                <w:rFonts w:ascii="Calibri" w:hAnsi="Calibri" w:cs="Calibri"/>
                <w:b/>
                <w:noProof/>
              </w:rPr>
              <w:t>12.</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ENGAGEMENTS DE L’ACTIONNAIRE ET DE LA SOCIÉTÉ</w:t>
            </w:r>
            <w:r>
              <w:rPr>
                <w:noProof/>
                <w:webHidden/>
              </w:rPr>
              <w:tab/>
            </w:r>
            <w:r>
              <w:rPr>
                <w:noProof/>
                <w:webHidden/>
              </w:rPr>
              <w:fldChar w:fldCharType="begin"/>
            </w:r>
            <w:r>
              <w:rPr>
                <w:noProof/>
                <w:webHidden/>
              </w:rPr>
              <w:instrText xml:space="preserve"> PAGEREF _Toc222908305 \h </w:instrText>
            </w:r>
            <w:r>
              <w:rPr>
                <w:noProof/>
                <w:webHidden/>
              </w:rPr>
            </w:r>
            <w:r>
              <w:rPr>
                <w:noProof/>
                <w:webHidden/>
              </w:rPr>
              <w:fldChar w:fldCharType="separate"/>
            </w:r>
            <w:r>
              <w:rPr>
                <w:noProof/>
                <w:webHidden/>
              </w:rPr>
              <w:t>24</w:t>
            </w:r>
            <w:r>
              <w:rPr>
                <w:noProof/>
                <w:webHidden/>
              </w:rPr>
              <w:fldChar w:fldCharType="end"/>
            </w:r>
          </w:hyperlink>
        </w:p>
        <w:p w14:paraId="2384663B" w14:textId="50CD9949"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6" w:history="1">
            <w:r w:rsidRPr="006A179C">
              <w:rPr>
                <w:rStyle w:val="Lienhypertexte"/>
                <w:rFonts w:ascii="Calibri" w:hAnsi="Calibri" w:cs="Calibri"/>
                <w:b/>
                <w:noProof/>
              </w:rPr>
              <w:t>13.</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AUTRES ENGAGEMENTS</w:t>
            </w:r>
            <w:r>
              <w:rPr>
                <w:noProof/>
                <w:webHidden/>
              </w:rPr>
              <w:tab/>
            </w:r>
            <w:r>
              <w:rPr>
                <w:noProof/>
                <w:webHidden/>
              </w:rPr>
              <w:fldChar w:fldCharType="begin"/>
            </w:r>
            <w:r>
              <w:rPr>
                <w:noProof/>
                <w:webHidden/>
              </w:rPr>
              <w:instrText xml:space="preserve"> PAGEREF _Toc222908306 \h </w:instrText>
            </w:r>
            <w:r>
              <w:rPr>
                <w:noProof/>
                <w:webHidden/>
              </w:rPr>
            </w:r>
            <w:r>
              <w:rPr>
                <w:noProof/>
                <w:webHidden/>
              </w:rPr>
              <w:fldChar w:fldCharType="separate"/>
            </w:r>
            <w:r>
              <w:rPr>
                <w:noProof/>
                <w:webHidden/>
              </w:rPr>
              <w:t>25</w:t>
            </w:r>
            <w:r>
              <w:rPr>
                <w:noProof/>
                <w:webHidden/>
              </w:rPr>
              <w:fldChar w:fldCharType="end"/>
            </w:r>
          </w:hyperlink>
        </w:p>
        <w:p w14:paraId="2952A114" w14:textId="5BFACB27"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7" w:history="1">
            <w:r w:rsidRPr="006A179C">
              <w:rPr>
                <w:rStyle w:val="Lienhypertexte"/>
                <w:rFonts w:ascii="Calibri" w:hAnsi="Calibri" w:cs="Calibri"/>
                <w:b/>
                <w:noProof/>
              </w:rPr>
              <w:t>14.</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CLAUSE D’INALIENABILITE</w:t>
            </w:r>
            <w:r>
              <w:rPr>
                <w:noProof/>
                <w:webHidden/>
              </w:rPr>
              <w:tab/>
            </w:r>
            <w:r>
              <w:rPr>
                <w:noProof/>
                <w:webHidden/>
              </w:rPr>
              <w:fldChar w:fldCharType="begin"/>
            </w:r>
            <w:r>
              <w:rPr>
                <w:noProof/>
                <w:webHidden/>
              </w:rPr>
              <w:instrText xml:space="preserve"> PAGEREF _Toc222908307 \h </w:instrText>
            </w:r>
            <w:r>
              <w:rPr>
                <w:noProof/>
                <w:webHidden/>
              </w:rPr>
            </w:r>
            <w:r>
              <w:rPr>
                <w:noProof/>
                <w:webHidden/>
              </w:rPr>
              <w:fldChar w:fldCharType="separate"/>
            </w:r>
            <w:r>
              <w:rPr>
                <w:noProof/>
                <w:webHidden/>
              </w:rPr>
              <w:t>26</w:t>
            </w:r>
            <w:r>
              <w:rPr>
                <w:noProof/>
                <w:webHidden/>
              </w:rPr>
              <w:fldChar w:fldCharType="end"/>
            </w:r>
          </w:hyperlink>
        </w:p>
        <w:p w14:paraId="61FA4638" w14:textId="10E033CB"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8" w:history="1">
            <w:r w:rsidRPr="006A179C">
              <w:rPr>
                <w:rStyle w:val="Lienhypertexte"/>
                <w:rFonts w:ascii="Calibri" w:hAnsi="Calibri" w:cs="Calibri"/>
                <w:b/>
                <w:noProof/>
              </w:rPr>
              <w:t>15.</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PRIMAUTE ET INDIVISIBILITE DU PROJET DE PLAN</w:t>
            </w:r>
            <w:r>
              <w:rPr>
                <w:noProof/>
                <w:webHidden/>
              </w:rPr>
              <w:tab/>
            </w:r>
            <w:r>
              <w:rPr>
                <w:noProof/>
                <w:webHidden/>
              </w:rPr>
              <w:fldChar w:fldCharType="begin"/>
            </w:r>
            <w:r>
              <w:rPr>
                <w:noProof/>
                <w:webHidden/>
              </w:rPr>
              <w:instrText xml:space="preserve"> PAGEREF _Toc222908308 \h </w:instrText>
            </w:r>
            <w:r>
              <w:rPr>
                <w:noProof/>
                <w:webHidden/>
              </w:rPr>
            </w:r>
            <w:r>
              <w:rPr>
                <w:noProof/>
                <w:webHidden/>
              </w:rPr>
              <w:fldChar w:fldCharType="separate"/>
            </w:r>
            <w:r>
              <w:rPr>
                <w:noProof/>
                <w:webHidden/>
              </w:rPr>
              <w:t>27</w:t>
            </w:r>
            <w:r>
              <w:rPr>
                <w:noProof/>
                <w:webHidden/>
              </w:rPr>
              <w:fldChar w:fldCharType="end"/>
            </w:r>
          </w:hyperlink>
        </w:p>
        <w:p w14:paraId="5964B6E5" w14:textId="31DDB7D4" w:rsidR="00BF72E8" w:rsidRDefault="00BF72E8">
          <w:pPr>
            <w:pStyle w:val="TM1"/>
            <w:rPr>
              <w:rFonts w:asciiTheme="minorHAnsi" w:eastAsiaTheme="minorEastAsia" w:hAnsiTheme="minorHAnsi" w:cstheme="minorBidi"/>
              <w:noProof/>
              <w:kern w:val="2"/>
              <w:sz w:val="24"/>
              <w:szCs w:val="24"/>
              <w14:ligatures w14:val="standardContextual"/>
            </w:rPr>
          </w:pPr>
          <w:hyperlink w:anchor="_Toc222908309" w:history="1">
            <w:r w:rsidRPr="006A179C">
              <w:rPr>
                <w:rStyle w:val="Lienhypertexte"/>
                <w:rFonts w:ascii="Calibri" w:hAnsi="Calibri" w:cs="Calibri"/>
                <w:b/>
                <w:noProof/>
              </w:rPr>
              <w:t>16.</w:t>
            </w:r>
            <w:r>
              <w:rPr>
                <w:rFonts w:asciiTheme="minorHAnsi" w:eastAsiaTheme="minorEastAsia" w:hAnsiTheme="minorHAnsi" w:cstheme="minorBidi"/>
                <w:noProof/>
                <w:kern w:val="2"/>
                <w:sz w:val="24"/>
                <w:szCs w:val="24"/>
                <w14:ligatures w14:val="standardContextual"/>
              </w:rPr>
              <w:tab/>
            </w:r>
            <w:r w:rsidRPr="006A179C">
              <w:rPr>
                <w:rStyle w:val="Lienhypertexte"/>
                <w:rFonts w:ascii="Calibri" w:hAnsi="Calibri" w:cs="Calibri"/>
                <w:b/>
                <w:noProof/>
              </w:rPr>
              <w:t>GARANT</w:t>
            </w:r>
            <w:r>
              <w:rPr>
                <w:noProof/>
                <w:webHidden/>
              </w:rPr>
              <w:tab/>
            </w:r>
            <w:r>
              <w:rPr>
                <w:noProof/>
                <w:webHidden/>
              </w:rPr>
              <w:fldChar w:fldCharType="begin"/>
            </w:r>
            <w:r>
              <w:rPr>
                <w:noProof/>
                <w:webHidden/>
              </w:rPr>
              <w:instrText xml:space="preserve"> PAGEREF _Toc222908309 \h </w:instrText>
            </w:r>
            <w:r>
              <w:rPr>
                <w:noProof/>
                <w:webHidden/>
              </w:rPr>
            </w:r>
            <w:r>
              <w:rPr>
                <w:noProof/>
                <w:webHidden/>
              </w:rPr>
              <w:fldChar w:fldCharType="separate"/>
            </w:r>
            <w:r>
              <w:rPr>
                <w:noProof/>
                <w:webHidden/>
              </w:rPr>
              <w:t>27</w:t>
            </w:r>
            <w:r>
              <w:rPr>
                <w:noProof/>
                <w:webHidden/>
              </w:rPr>
              <w:fldChar w:fldCharType="end"/>
            </w:r>
          </w:hyperlink>
        </w:p>
        <w:p w14:paraId="4751BEA1" w14:textId="07C96642" w:rsidR="00AA5855" w:rsidRPr="00AA5855" w:rsidRDefault="007F0EDD" w:rsidP="00A83031">
          <w:pPr>
            <w:tabs>
              <w:tab w:val="left" w:pos="0"/>
              <w:tab w:val="right" w:leader="dot" w:pos="9498"/>
            </w:tabs>
            <w:ind w:left="567" w:hanging="567"/>
            <w:rPr>
              <w:rFonts w:ascii="Calibri" w:hAnsi="Calibri" w:cs="Calibri"/>
              <w:sz w:val="22"/>
              <w:szCs w:val="22"/>
            </w:rPr>
          </w:pPr>
          <w:r w:rsidRPr="00C661F1">
            <w:rPr>
              <w:rFonts w:ascii="Calibri" w:hAnsi="Calibri" w:cs="Calibri"/>
              <w:sz w:val="22"/>
              <w:szCs w:val="22"/>
            </w:rPr>
            <w:fldChar w:fldCharType="end"/>
          </w:r>
        </w:p>
      </w:sdtContent>
    </w:sdt>
    <w:p w14:paraId="260B0A85" w14:textId="77777777" w:rsidR="00AA5855" w:rsidRPr="00AA5855" w:rsidRDefault="00AA5855" w:rsidP="00AA5855">
      <w:pPr>
        <w:jc w:val="both"/>
        <w:rPr>
          <w:rFonts w:ascii="Calibri" w:hAnsi="Calibri" w:cs="Calibri"/>
          <w:b/>
          <w:sz w:val="22"/>
          <w:szCs w:val="22"/>
        </w:rPr>
      </w:pPr>
    </w:p>
    <w:p w14:paraId="109F569A" w14:textId="77777777" w:rsidR="00AA5855" w:rsidRPr="00AA5855" w:rsidRDefault="00AA5855" w:rsidP="00AA5855">
      <w:pPr>
        <w:jc w:val="both"/>
        <w:rPr>
          <w:rFonts w:ascii="Calibri" w:hAnsi="Calibri" w:cs="Calibri"/>
          <w:b/>
          <w:sz w:val="22"/>
          <w:szCs w:val="22"/>
        </w:rPr>
      </w:pPr>
    </w:p>
    <w:p w14:paraId="4BCA13F5" w14:textId="77777777" w:rsidR="00AA5855" w:rsidRPr="00AA5855" w:rsidRDefault="00AA5855" w:rsidP="00AA5855">
      <w:pPr>
        <w:ind w:firstLine="142"/>
        <w:jc w:val="both"/>
        <w:rPr>
          <w:rFonts w:ascii="Calibri" w:hAnsi="Calibri" w:cs="Calibri"/>
          <w:b/>
          <w:sz w:val="22"/>
          <w:szCs w:val="22"/>
        </w:rPr>
      </w:pPr>
      <w:r w:rsidRPr="00AA5855">
        <w:rPr>
          <w:rFonts w:ascii="Calibri" w:hAnsi="Calibri" w:cs="Calibri"/>
          <w:b/>
          <w:sz w:val="22"/>
          <w:szCs w:val="22"/>
        </w:rPr>
        <w:br w:type="page"/>
      </w:r>
    </w:p>
    <w:p w14:paraId="14D826E5" w14:textId="6368A3D7" w:rsidR="00305C0B" w:rsidRPr="00305C0B" w:rsidRDefault="00305C0B" w:rsidP="00B132A0">
      <w:pPr>
        <w:pStyle w:val="Paragraphedeliste"/>
        <w:numPr>
          <w:ilvl w:val="0"/>
          <w:numId w:val="12"/>
        </w:numPr>
        <w:pBdr>
          <w:top w:val="single" w:sz="6" w:space="1" w:color="auto"/>
          <w:left w:val="single" w:sz="6" w:space="4" w:color="auto"/>
          <w:bottom w:val="single" w:sz="6" w:space="1" w:color="auto"/>
          <w:right w:val="single" w:sz="6" w:space="4" w:color="auto"/>
        </w:pBdr>
        <w:overflowPunct w:val="0"/>
        <w:autoSpaceDE w:val="0"/>
        <w:autoSpaceDN w:val="0"/>
        <w:adjustRightInd w:val="0"/>
        <w:ind w:left="426"/>
        <w:jc w:val="both"/>
        <w:textAlignment w:val="baseline"/>
        <w:outlineLvl w:val="0"/>
        <w:rPr>
          <w:rFonts w:ascii="Calibri" w:hAnsi="Calibri" w:cs="Calibri"/>
          <w:b/>
          <w:sz w:val="22"/>
          <w:szCs w:val="22"/>
        </w:rPr>
      </w:pPr>
      <w:bookmarkStart w:id="1" w:name="_Toc222908283"/>
      <w:r w:rsidRPr="00305C0B">
        <w:rPr>
          <w:rFonts w:ascii="Calibri" w:hAnsi="Calibri" w:cs="Calibri"/>
          <w:b/>
          <w:sz w:val="22"/>
          <w:szCs w:val="22"/>
        </w:rPr>
        <w:lastRenderedPageBreak/>
        <w:t>RAPPEL DE LA PROCEDURE</w:t>
      </w:r>
      <w:bookmarkEnd w:id="1"/>
    </w:p>
    <w:p w14:paraId="3663C976" w14:textId="77777777" w:rsidR="00AA5855" w:rsidRPr="00AA5855" w:rsidRDefault="00AA5855" w:rsidP="00AA5855">
      <w:pPr>
        <w:jc w:val="both"/>
        <w:rPr>
          <w:rFonts w:ascii="Calibri" w:hAnsi="Calibri" w:cs="Calibri"/>
          <w:sz w:val="22"/>
          <w:szCs w:val="22"/>
        </w:rPr>
      </w:pPr>
    </w:p>
    <w:tbl>
      <w:tblPr>
        <w:tblW w:w="10211" w:type="dxa"/>
        <w:jc w:val="center"/>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CellMar>
          <w:left w:w="0" w:type="dxa"/>
          <w:right w:w="0" w:type="dxa"/>
        </w:tblCellMar>
        <w:tblLook w:val="01E0" w:firstRow="1" w:lastRow="1" w:firstColumn="1" w:lastColumn="1" w:noHBand="0" w:noVBand="0"/>
      </w:tblPr>
      <w:tblGrid>
        <w:gridCol w:w="2688"/>
        <w:gridCol w:w="7523"/>
      </w:tblGrid>
      <w:tr w:rsidR="0025342B" w:rsidRPr="0025342B" w14:paraId="14DEFBD3" w14:textId="77777777" w:rsidTr="00CB411E">
        <w:trPr>
          <w:trHeight w:val="3426"/>
          <w:jc w:val="center"/>
        </w:trPr>
        <w:tc>
          <w:tcPr>
            <w:tcW w:w="2688" w:type="dxa"/>
            <w:vAlign w:val="center"/>
          </w:tcPr>
          <w:p w14:paraId="12F57C06" w14:textId="7429D638" w:rsidR="0025342B" w:rsidRPr="0025342B" w:rsidRDefault="004A4A3E" w:rsidP="0025342B">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15 mai 2025</w:t>
            </w:r>
          </w:p>
        </w:tc>
        <w:tc>
          <w:tcPr>
            <w:tcW w:w="7523" w:type="dxa"/>
            <w:vAlign w:val="center"/>
          </w:tcPr>
          <w:p w14:paraId="03B00FBF" w14:textId="29BC9D3B" w:rsidR="00213CD4" w:rsidRPr="00213CD4" w:rsidRDefault="00213CD4" w:rsidP="00213CD4">
            <w:pPr>
              <w:widowControl w:val="0"/>
              <w:ind w:left="134" w:right="285"/>
              <w:jc w:val="center"/>
              <w:rPr>
                <w:rFonts w:ascii="Calibri" w:eastAsia="Calibri" w:hAnsi="Calibri" w:cs="Calibri"/>
                <w:sz w:val="22"/>
                <w:szCs w:val="22"/>
                <w:lang w:eastAsia="en-US" w:bidi="fr-FR"/>
              </w:rPr>
            </w:pPr>
            <w:r w:rsidRPr="00213CD4">
              <w:rPr>
                <w:rFonts w:ascii="Calibri" w:eastAsia="Calibri" w:hAnsi="Calibri" w:cs="Calibri"/>
                <w:sz w:val="22"/>
                <w:szCs w:val="22"/>
                <w:lang w:eastAsia="en-US" w:bidi="fr-FR"/>
              </w:rPr>
              <w:t>Jugement pron</w:t>
            </w:r>
            <w:r w:rsidRPr="00AE1F43">
              <w:rPr>
                <w:rFonts w:ascii="Calibri" w:eastAsia="Calibri" w:hAnsi="Calibri" w:cs="Calibri"/>
                <w:sz w:val="22"/>
                <w:szCs w:val="22"/>
                <w:lang w:eastAsia="en-US" w:bidi="fr-FR"/>
              </w:rPr>
              <w:t>onçant l’ouverture de la procédure de redressement judiciaire à l’égard de</w:t>
            </w:r>
            <w:r w:rsidR="000469DD" w:rsidRPr="00AE1F43">
              <w:rPr>
                <w:rFonts w:ascii="Calibri" w:eastAsia="Calibri" w:hAnsi="Calibri" w:cs="Calibri"/>
                <w:sz w:val="22"/>
                <w:szCs w:val="22"/>
                <w:lang w:eastAsia="en-US" w:bidi="fr-FR"/>
              </w:rPr>
              <w:t xml:space="preserve"> la </w:t>
            </w:r>
            <w:r w:rsidRPr="00AE1F43">
              <w:rPr>
                <w:rFonts w:ascii="Calibri" w:eastAsia="Calibri" w:hAnsi="Calibri" w:cs="Calibri"/>
                <w:sz w:val="22"/>
                <w:szCs w:val="22"/>
                <w:lang w:eastAsia="en-US" w:bidi="fr-FR"/>
              </w:rPr>
              <w:t>société</w:t>
            </w:r>
            <w:r w:rsidR="000469DD" w:rsidRPr="00AE1F43">
              <w:rPr>
                <w:rFonts w:ascii="Calibri" w:eastAsia="Calibri" w:hAnsi="Calibri" w:cs="Calibri"/>
                <w:sz w:val="22"/>
                <w:szCs w:val="22"/>
                <w:lang w:eastAsia="en-US" w:bidi="fr-FR"/>
              </w:rPr>
              <w:t xml:space="preserve"> </w:t>
            </w:r>
            <w:r w:rsidR="00AE1F43" w:rsidRPr="00AE1F43">
              <w:rPr>
                <w:rFonts w:ascii="Calibri" w:eastAsia="Calibri" w:hAnsi="Calibri" w:cs="Calibri"/>
                <w:sz w:val="22"/>
                <w:szCs w:val="22"/>
                <w:lang w:eastAsia="en-US" w:bidi="fr-FR"/>
              </w:rPr>
              <w:t>SCI</w:t>
            </w:r>
            <w:r w:rsidRPr="00AE1F43">
              <w:rPr>
                <w:rFonts w:ascii="Calibri" w:eastAsia="Calibri" w:hAnsi="Calibri" w:cs="Calibri"/>
                <w:sz w:val="22"/>
                <w:szCs w:val="22"/>
                <w:lang w:eastAsia="en-US" w:bidi="fr-FR"/>
              </w:rPr>
              <w:t xml:space="preserve"> </w:t>
            </w:r>
            <w:r w:rsidR="001D2AEF" w:rsidRPr="00AE1F43">
              <w:rPr>
                <w:rFonts w:ascii="Calibri" w:eastAsia="Calibri" w:hAnsi="Calibri" w:cs="Calibri"/>
                <w:sz w:val="22"/>
                <w:szCs w:val="22"/>
                <w:lang w:eastAsia="en-US" w:bidi="fr-FR"/>
              </w:rPr>
              <w:t>TOLBIAC</w:t>
            </w:r>
            <w:r w:rsidR="004A4A3E" w:rsidRPr="00AE1F43">
              <w:rPr>
                <w:rFonts w:ascii="Calibri" w:eastAsia="Calibri" w:hAnsi="Calibri" w:cs="Calibri"/>
                <w:sz w:val="22"/>
                <w:szCs w:val="22"/>
                <w:lang w:eastAsia="en-US" w:bidi="fr-FR"/>
              </w:rPr>
              <w:t xml:space="preserve"> </w:t>
            </w:r>
            <w:r w:rsidR="008A12F6" w:rsidRPr="00AE1F43">
              <w:rPr>
                <w:rFonts w:ascii="Calibri" w:eastAsia="Calibri" w:hAnsi="Calibri" w:cs="Calibri"/>
                <w:sz w:val="22"/>
                <w:szCs w:val="22"/>
                <w:lang w:eastAsia="en-US" w:bidi="fr-FR"/>
              </w:rPr>
              <w:t>(ci-après désignée la « </w:t>
            </w:r>
            <w:r w:rsidR="008A12F6" w:rsidRPr="00AE1F43">
              <w:rPr>
                <w:rFonts w:ascii="Calibri" w:eastAsia="Calibri" w:hAnsi="Calibri" w:cs="Calibri"/>
                <w:b/>
                <w:bCs/>
                <w:i/>
                <w:iCs/>
                <w:sz w:val="22"/>
                <w:szCs w:val="22"/>
                <w:lang w:eastAsia="en-US" w:bidi="fr-FR"/>
              </w:rPr>
              <w:t>Société</w:t>
            </w:r>
            <w:r w:rsidR="00504494" w:rsidRPr="00AE1F43">
              <w:rPr>
                <w:rFonts w:ascii="Calibri" w:eastAsia="Calibri" w:hAnsi="Calibri" w:cs="Calibri"/>
                <w:sz w:val="22"/>
                <w:szCs w:val="22"/>
                <w:lang w:eastAsia="en-US" w:bidi="fr-FR"/>
              </w:rPr>
              <w:t> »)</w:t>
            </w:r>
            <w:r w:rsidR="00070F82" w:rsidRPr="00AE1F43">
              <w:rPr>
                <w:rFonts w:ascii="Calibri" w:eastAsia="Calibri" w:hAnsi="Calibri" w:cs="Calibri"/>
                <w:sz w:val="22"/>
                <w:szCs w:val="22"/>
                <w:lang w:eastAsia="en-US" w:bidi="fr-FR"/>
              </w:rPr>
              <w:t xml:space="preserve"> avec une période d’observation de </w:t>
            </w:r>
            <w:r w:rsidR="00CD052A" w:rsidRPr="00AE1F43">
              <w:rPr>
                <w:rFonts w:ascii="Calibri" w:eastAsia="Calibri" w:hAnsi="Calibri" w:cs="Calibri"/>
                <w:sz w:val="22"/>
                <w:szCs w:val="22"/>
                <w:lang w:eastAsia="en-US" w:bidi="fr-FR"/>
              </w:rPr>
              <w:t>6</w:t>
            </w:r>
            <w:r w:rsidR="00070F82" w:rsidRPr="00AE1F43">
              <w:rPr>
                <w:rFonts w:ascii="Calibri" w:eastAsia="Calibri" w:hAnsi="Calibri" w:cs="Calibri"/>
                <w:sz w:val="22"/>
                <w:szCs w:val="22"/>
                <w:lang w:eastAsia="en-US" w:bidi="fr-FR"/>
              </w:rPr>
              <w:t xml:space="preserve"> mois, soit jusqu’au </w:t>
            </w:r>
            <w:r w:rsidR="00C634BA" w:rsidRPr="00AE1F43">
              <w:rPr>
                <w:rFonts w:ascii="Calibri" w:eastAsia="Calibri" w:hAnsi="Calibri" w:cs="Calibri"/>
                <w:sz w:val="22"/>
                <w:szCs w:val="22"/>
                <w:lang w:eastAsia="en-US" w:bidi="fr-FR"/>
              </w:rPr>
              <w:t>15 novembre 2025</w:t>
            </w:r>
            <w:r w:rsidR="00070F82" w:rsidRPr="00AE1F43">
              <w:rPr>
                <w:rFonts w:ascii="Calibri" w:eastAsia="Calibri" w:hAnsi="Calibri" w:cs="Calibri"/>
                <w:sz w:val="22"/>
                <w:szCs w:val="22"/>
                <w:lang w:eastAsia="en-US" w:bidi="fr-FR"/>
              </w:rPr>
              <w:t xml:space="preserve"> et</w:t>
            </w:r>
            <w:r w:rsidRPr="00AE1F43">
              <w:rPr>
                <w:rFonts w:ascii="Calibri" w:eastAsia="Calibri" w:hAnsi="Calibri" w:cs="Calibri"/>
                <w:sz w:val="22"/>
                <w:szCs w:val="22"/>
                <w:lang w:eastAsia="en-US" w:bidi="fr-FR"/>
              </w:rPr>
              <w:t xml:space="preserve"> désignant :</w:t>
            </w:r>
          </w:p>
          <w:p w14:paraId="1458B502" w14:textId="77777777" w:rsidR="00213CD4" w:rsidRPr="00213CD4" w:rsidRDefault="00213CD4" w:rsidP="00B132A0">
            <w:pPr>
              <w:widowControl w:val="0"/>
              <w:numPr>
                <w:ilvl w:val="0"/>
                <w:numId w:val="1"/>
              </w:numPr>
              <w:overflowPunct w:val="0"/>
              <w:autoSpaceDE w:val="0"/>
              <w:autoSpaceDN w:val="0"/>
              <w:adjustRightInd w:val="0"/>
              <w:spacing w:before="120"/>
              <w:ind w:left="714" w:right="284" w:hanging="357"/>
              <w:jc w:val="center"/>
              <w:textAlignment w:val="baseline"/>
              <w:rPr>
                <w:rFonts w:ascii="Calibri" w:eastAsia="Calibri" w:hAnsi="Calibri" w:cs="Calibri"/>
                <w:sz w:val="22"/>
                <w:szCs w:val="22"/>
                <w:lang w:eastAsia="en-US" w:bidi="fr-FR"/>
              </w:rPr>
            </w:pPr>
            <w:r w:rsidRPr="00213CD4">
              <w:rPr>
                <w:rFonts w:ascii="Calibri" w:eastAsia="Calibri" w:hAnsi="Calibri" w:cs="Calibri"/>
                <w:sz w:val="22"/>
                <w:szCs w:val="22"/>
                <w:lang w:eastAsia="en-US" w:bidi="fr-FR"/>
              </w:rPr>
              <w:t>Monsieur Charles-Henri LE CHEVALIER en qualité de Juge-commissaire,</w:t>
            </w:r>
          </w:p>
          <w:p w14:paraId="2A24BE0F" w14:textId="77777777" w:rsidR="00213CD4" w:rsidRPr="00213CD4" w:rsidRDefault="00213CD4" w:rsidP="00B132A0">
            <w:pPr>
              <w:widowControl w:val="0"/>
              <w:numPr>
                <w:ilvl w:val="0"/>
                <w:numId w:val="1"/>
              </w:numPr>
              <w:overflowPunct w:val="0"/>
              <w:autoSpaceDE w:val="0"/>
              <w:autoSpaceDN w:val="0"/>
              <w:adjustRightInd w:val="0"/>
              <w:spacing w:before="120"/>
              <w:ind w:left="714" w:right="284" w:hanging="357"/>
              <w:jc w:val="center"/>
              <w:textAlignment w:val="baseline"/>
              <w:rPr>
                <w:rFonts w:ascii="Calibri" w:eastAsia="Calibri" w:hAnsi="Calibri" w:cs="Calibri"/>
                <w:sz w:val="22"/>
                <w:szCs w:val="22"/>
                <w:lang w:eastAsia="en-US" w:bidi="fr-FR"/>
              </w:rPr>
            </w:pPr>
            <w:r w:rsidRPr="00213CD4">
              <w:rPr>
                <w:rFonts w:ascii="Calibri" w:eastAsia="Calibri" w:hAnsi="Calibri" w:cs="Calibri"/>
                <w:sz w:val="22"/>
                <w:szCs w:val="22"/>
                <w:lang w:eastAsia="en-US" w:bidi="fr-FR"/>
              </w:rPr>
              <w:t>La SELARL FIDES prise en la personne de Maître Céline PERDRIEL VAISSIERE en qualité de mandataire judiciaire,</w:t>
            </w:r>
          </w:p>
          <w:p w14:paraId="5E9BFEFE" w14:textId="452ED3CD" w:rsidR="00213CD4" w:rsidRPr="00213CD4" w:rsidRDefault="00213CD4" w:rsidP="00B132A0">
            <w:pPr>
              <w:widowControl w:val="0"/>
              <w:numPr>
                <w:ilvl w:val="0"/>
                <w:numId w:val="1"/>
              </w:numPr>
              <w:overflowPunct w:val="0"/>
              <w:autoSpaceDE w:val="0"/>
              <w:autoSpaceDN w:val="0"/>
              <w:adjustRightInd w:val="0"/>
              <w:spacing w:before="120"/>
              <w:ind w:left="714" w:right="284" w:hanging="357"/>
              <w:jc w:val="center"/>
              <w:textAlignment w:val="baseline"/>
              <w:rPr>
                <w:rFonts w:ascii="Calibri" w:eastAsia="Calibri" w:hAnsi="Calibri" w:cs="Calibri"/>
                <w:sz w:val="22"/>
                <w:szCs w:val="22"/>
                <w:lang w:eastAsia="en-US" w:bidi="fr-FR"/>
              </w:rPr>
            </w:pPr>
            <w:r w:rsidRPr="00213CD4">
              <w:rPr>
                <w:rFonts w:ascii="Calibri" w:eastAsia="Calibri" w:hAnsi="Calibri" w:cs="Calibri"/>
                <w:sz w:val="22"/>
                <w:szCs w:val="22"/>
                <w:lang w:eastAsia="en-US" w:bidi="fr-FR"/>
              </w:rPr>
              <w:t xml:space="preserve">La SELARL 2M&amp;associés prise en </w:t>
            </w:r>
            <w:r w:rsidR="006E1A88">
              <w:rPr>
                <w:rFonts w:ascii="Calibri" w:eastAsia="Calibri" w:hAnsi="Calibri" w:cs="Calibri"/>
                <w:sz w:val="22"/>
                <w:szCs w:val="22"/>
                <w:lang w:eastAsia="en-US" w:bidi="fr-FR"/>
              </w:rPr>
              <w:t>l</w:t>
            </w:r>
            <w:r w:rsidRPr="00213CD4">
              <w:rPr>
                <w:rFonts w:ascii="Calibri" w:eastAsia="Calibri" w:hAnsi="Calibri" w:cs="Calibri"/>
                <w:sz w:val="22"/>
                <w:szCs w:val="22"/>
                <w:lang w:eastAsia="en-US" w:bidi="fr-FR"/>
              </w:rPr>
              <w:t>a personne</w:t>
            </w:r>
            <w:r w:rsidR="006E1A88">
              <w:rPr>
                <w:rFonts w:ascii="Calibri" w:eastAsia="Calibri" w:hAnsi="Calibri" w:cs="Calibri"/>
                <w:sz w:val="22"/>
                <w:szCs w:val="22"/>
                <w:lang w:eastAsia="en-US" w:bidi="fr-FR"/>
              </w:rPr>
              <w:t xml:space="preserve"> de Maître Marine Pace</w:t>
            </w:r>
            <w:r w:rsidRPr="00213CD4">
              <w:rPr>
                <w:rFonts w:ascii="Calibri" w:eastAsia="Calibri" w:hAnsi="Calibri" w:cs="Calibri"/>
                <w:sz w:val="22"/>
                <w:szCs w:val="22"/>
                <w:lang w:eastAsia="en-US" w:bidi="fr-FR"/>
              </w:rPr>
              <w:t xml:space="preserve"> en qualité d’administrateur judiciaire avec une mission d'assistance.</w:t>
            </w:r>
          </w:p>
          <w:p w14:paraId="2192434C" w14:textId="77777777" w:rsidR="00213CD4" w:rsidRPr="00213CD4" w:rsidRDefault="00213CD4" w:rsidP="00213CD4">
            <w:pPr>
              <w:widowControl w:val="0"/>
              <w:ind w:left="134" w:right="285"/>
              <w:jc w:val="center"/>
              <w:rPr>
                <w:rFonts w:ascii="Calibri" w:eastAsia="Calibri" w:hAnsi="Calibri" w:cs="Calibri"/>
                <w:sz w:val="22"/>
                <w:szCs w:val="22"/>
                <w:lang w:eastAsia="en-US" w:bidi="fr-FR"/>
              </w:rPr>
            </w:pPr>
          </w:p>
          <w:p w14:paraId="6D093263" w14:textId="11EC7B5C" w:rsidR="00547F9D" w:rsidRPr="000469DD" w:rsidRDefault="00213CD4" w:rsidP="00276D02">
            <w:pPr>
              <w:widowControl w:val="0"/>
              <w:tabs>
                <w:tab w:val="left" w:pos="6658"/>
              </w:tabs>
              <w:ind w:left="134" w:right="133"/>
              <w:jc w:val="center"/>
              <w:rPr>
                <w:rFonts w:ascii="Calibri" w:eastAsia="Calibri" w:hAnsi="Calibri" w:cs="Calibri"/>
                <w:sz w:val="22"/>
                <w:szCs w:val="22"/>
                <w:lang w:eastAsia="en-US" w:bidi="fr-FR"/>
              </w:rPr>
            </w:pPr>
            <w:r w:rsidRPr="000469DD">
              <w:rPr>
                <w:rFonts w:ascii="Calibri" w:eastAsia="Calibri" w:hAnsi="Calibri" w:cs="Calibri"/>
                <w:sz w:val="22"/>
                <w:szCs w:val="22"/>
                <w:lang w:eastAsia="en-US" w:bidi="fr-FR"/>
              </w:rPr>
              <w:t>L</w:t>
            </w:r>
            <w:r w:rsidR="00BA24F5" w:rsidRPr="000469DD">
              <w:rPr>
                <w:rFonts w:ascii="Calibri" w:eastAsia="Calibri" w:hAnsi="Calibri" w:cs="Calibri"/>
                <w:sz w:val="22"/>
                <w:szCs w:val="22"/>
                <w:lang w:eastAsia="en-US" w:bidi="fr-FR"/>
              </w:rPr>
              <w:t>a</w:t>
            </w:r>
            <w:r w:rsidRPr="000469DD">
              <w:rPr>
                <w:rFonts w:ascii="Calibri" w:eastAsia="Calibri" w:hAnsi="Calibri" w:cs="Calibri"/>
                <w:sz w:val="22"/>
                <w:szCs w:val="22"/>
                <w:lang w:eastAsia="en-US" w:bidi="fr-FR"/>
              </w:rPr>
              <w:t xml:space="preserve"> date</w:t>
            </w:r>
            <w:r w:rsidR="00BA24F5" w:rsidRPr="000469DD">
              <w:rPr>
                <w:rFonts w:ascii="Calibri" w:eastAsia="Calibri" w:hAnsi="Calibri" w:cs="Calibri"/>
                <w:sz w:val="22"/>
                <w:szCs w:val="22"/>
                <w:lang w:eastAsia="en-US" w:bidi="fr-FR"/>
              </w:rPr>
              <w:t xml:space="preserve"> </w:t>
            </w:r>
            <w:r w:rsidRPr="000469DD">
              <w:rPr>
                <w:rFonts w:ascii="Calibri" w:eastAsia="Calibri" w:hAnsi="Calibri" w:cs="Calibri"/>
                <w:sz w:val="22"/>
                <w:szCs w:val="22"/>
                <w:lang w:eastAsia="en-US" w:bidi="fr-FR"/>
              </w:rPr>
              <w:t xml:space="preserve">de cessation des paiements </w:t>
            </w:r>
            <w:r w:rsidR="00BA24F5" w:rsidRPr="000469DD">
              <w:rPr>
                <w:rFonts w:ascii="Calibri" w:eastAsia="Calibri" w:hAnsi="Calibri" w:cs="Calibri"/>
                <w:sz w:val="22"/>
                <w:szCs w:val="22"/>
                <w:lang w:eastAsia="en-US" w:bidi="fr-FR"/>
              </w:rPr>
              <w:t>a été</w:t>
            </w:r>
            <w:r w:rsidRPr="000469DD">
              <w:rPr>
                <w:rFonts w:ascii="Calibri" w:eastAsia="Calibri" w:hAnsi="Calibri" w:cs="Calibri"/>
                <w:sz w:val="22"/>
                <w:szCs w:val="22"/>
                <w:lang w:eastAsia="en-US" w:bidi="fr-FR"/>
              </w:rPr>
              <w:t xml:space="preserve"> fixée</w:t>
            </w:r>
            <w:r w:rsidR="00BA24F5" w:rsidRPr="000469DD">
              <w:rPr>
                <w:rFonts w:ascii="Calibri" w:eastAsia="Calibri" w:hAnsi="Calibri" w:cs="Calibri"/>
                <w:sz w:val="22"/>
                <w:szCs w:val="22"/>
                <w:lang w:eastAsia="en-US" w:bidi="fr-FR"/>
              </w:rPr>
              <w:t xml:space="preserve"> </w:t>
            </w:r>
            <w:r w:rsidRPr="000469DD">
              <w:rPr>
                <w:rFonts w:ascii="Calibri" w:eastAsia="Calibri" w:hAnsi="Calibri" w:cs="Calibri"/>
                <w:sz w:val="22"/>
                <w:szCs w:val="22"/>
                <w:lang w:eastAsia="en-US" w:bidi="fr-FR"/>
              </w:rPr>
              <w:t>par le Tribunal au 28 mars 2025, date qui correspond à la régularisation de</w:t>
            </w:r>
            <w:r w:rsidR="00EE237D" w:rsidRPr="000469DD">
              <w:rPr>
                <w:rFonts w:ascii="Calibri" w:eastAsia="Calibri" w:hAnsi="Calibri" w:cs="Calibri"/>
                <w:sz w:val="22"/>
                <w:szCs w:val="22"/>
                <w:lang w:eastAsia="en-US" w:bidi="fr-FR"/>
              </w:rPr>
              <w:t xml:space="preserve"> la </w:t>
            </w:r>
            <w:r w:rsidRPr="000469DD">
              <w:rPr>
                <w:rFonts w:ascii="Calibri" w:eastAsia="Calibri" w:hAnsi="Calibri" w:cs="Calibri"/>
                <w:sz w:val="22"/>
                <w:szCs w:val="22"/>
                <w:lang w:eastAsia="en-US" w:bidi="fr-FR"/>
              </w:rPr>
              <w:t>déclaration</w:t>
            </w:r>
            <w:r w:rsidR="00EE237D" w:rsidRPr="000469DD">
              <w:rPr>
                <w:rFonts w:ascii="Calibri" w:eastAsia="Calibri" w:hAnsi="Calibri" w:cs="Calibri"/>
                <w:sz w:val="22"/>
                <w:szCs w:val="22"/>
                <w:lang w:eastAsia="en-US" w:bidi="fr-FR"/>
              </w:rPr>
              <w:t xml:space="preserve"> </w:t>
            </w:r>
            <w:r w:rsidRPr="000469DD">
              <w:rPr>
                <w:rFonts w:ascii="Calibri" w:eastAsia="Calibri" w:hAnsi="Calibri" w:cs="Calibri"/>
                <w:sz w:val="22"/>
                <w:szCs w:val="22"/>
                <w:lang w:eastAsia="en-US" w:bidi="fr-FR"/>
              </w:rPr>
              <w:t>de cessation des paiements.</w:t>
            </w:r>
          </w:p>
        </w:tc>
      </w:tr>
      <w:tr w:rsidR="00F363F0" w:rsidRPr="00F363F0" w14:paraId="363E630C" w14:textId="77777777" w:rsidTr="00CB411E">
        <w:tblPrEx>
          <w:jc w:val="left"/>
        </w:tblPrEx>
        <w:trPr>
          <w:trHeight w:val="560"/>
        </w:trPr>
        <w:tc>
          <w:tcPr>
            <w:tcW w:w="2688" w:type="dxa"/>
            <w:tcBorders>
              <w:top w:val="single" w:sz="4" w:space="0" w:color="747678"/>
              <w:left w:val="single" w:sz="4" w:space="0" w:color="747678"/>
              <w:bottom w:val="single" w:sz="4" w:space="0" w:color="747678"/>
              <w:right w:val="single" w:sz="4" w:space="0" w:color="747678"/>
            </w:tcBorders>
            <w:vAlign w:val="center"/>
            <w:hideMark/>
          </w:tcPr>
          <w:p w14:paraId="59E0FB99" w14:textId="25A1A9B9" w:rsidR="00F363F0" w:rsidRPr="00F363F0" w:rsidRDefault="00DD5258" w:rsidP="00F363F0">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2 juin 2025</w:t>
            </w:r>
          </w:p>
        </w:tc>
        <w:tc>
          <w:tcPr>
            <w:tcW w:w="7523" w:type="dxa"/>
            <w:tcBorders>
              <w:top w:val="single" w:sz="4" w:space="0" w:color="747678"/>
              <w:left w:val="single" w:sz="4" w:space="0" w:color="747678"/>
              <w:bottom w:val="single" w:sz="4" w:space="0" w:color="747678"/>
              <w:right w:val="single" w:sz="4" w:space="0" w:color="747678"/>
            </w:tcBorders>
            <w:vAlign w:val="center"/>
            <w:hideMark/>
          </w:tcPr>
          <w:p w14:paraId="2720F406" w14:textId="77777777" w:rsidR="00F363F0" w:rsidRPr="00F363F0" w:rsidRDefault="00F363F0" w:rsidP="00F363F0">
            <w:pPr>
              <w:widowControl w:val="0"/>
              <w:ind w:right="-2"/>
              <w:jc w:val="center"/>
              <w:rPr>
                <w:rFonts w:ascii="Calibri" w:eastAsia="Calibri" w:hAnsi="Calibri" w:cs="Calibri"/>
                <w:bCs/>
                <w:sz w:val="22"/>
                <w:szCs w:val="22"/>
                <w:lang w:eastAsia="en-US" w:bidi="fr-FR"/>
              </w:rPr>
            </w:pPr>
            <w:r w:rsidRPr="00F363F0">
              <w:rPr>
                <w:rFonts w:ascii="Calibri" w:eastAsia="Calibri" w:hAnsi="Calibri" w:cs="Calibri"/>
                <w:bCs/>
                <w:sz w:val="22"/>
                <w:szCs w:val="22"/>
                <w:lang w:eastAsia="en-US" w:bidi="fr-FR"/>
              </w:rPr>
              <w:t>Publication au BODACC du jugement d’ouverture.</w:t>
            </w:r>
          </w:p>
        </w:tc>
      </w:tr>
      <w:tr w:rsidR="00F363F0" w:rsidRPr="00F363F0" w14:paraId="5BBA1AB9" w14:textId="77777777" w:rsidTr="00CB411E">
        <w:tblPrEx>
          <w:jc w:val="left"/>
        </w:tblPrEx>
        <w:trPr>
          <w:trHeight w:val="562"/>
        </w:trPr>
        <w:tc>
          <w:tcPr>
            <w:tcW w:w="2688" w:type="dxa"/>
            <w:tcBorders>
              <w:top w:val="single" w:sz="4" w:space="0" w:color="747678"/>
              <w:left w:val="single" w:sz="4" w:space="0" w:color="747678"/>
              <w:bottom w:val="single" w:sz="4" w:space="0" w:color="747678"/>
              <w:right w:val="single" w:sz="4" w:space="0" w:color="747678"/>
            </w:tcBorders>
            <w:vAlign w:val="center"/>
            <w:hideMark/>
          </w:tcPr>
          <w:p w14:paraId="287709FC" w14:textId="382139D8" w:rsidR="00F363F0" w:rsidRPr="00F363F0" w:rsidRDefault="000F06D6" w:rsidP="00F363F0">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11 juillet 2025</w:t>
            </w:r>
          </w:p>
        </w:tc>
        <w:tc>
          <w:tcPr>
            <w:tcW w:w="7523" w:type="dxa"/>
            <w:tcBorders>
              <w:top w:val="single" w:sz="4" w:space="0" w:color="747678"/>
              <w:left w:val="single" w:sz="4" w:space="0" w:color="747678"/>
              <w:bottom w:val="single" w:sz="4" w:space="0" w:color="747678"/>
              <w:right w:val="single" w:sz="4" w:space="0" w:color="747678"/>
            </w:tcBorders>
            <w:vAlign w:val="center"/>
            <w:hideMark/>
          </w:tcPr>
          <w:p w14:paraId="79C6D3D9" w14:textId="204999A3" w:rsidR="00F363F0" w:rsidRPr="00F363F0" w:rsidRDefault="00963205" w:rsidP="00F363F0">
            <w:pPr>
              <w:widowControl w:val="0"/>
              <w:ind w:right="-2"/>
              <w:jc w:val="center"/>
              <w:rPr>
                <w:rFonts w:ascii="Calibri" w:eastAsia="Calibri" w:hAnsi="Calibri" w:cs="Calibri"/>
                <w:bCs/>
                <w:sz w:val="22"/>
                <w:szCs w:val="22"/>
                <w:highlight w:val="yellow"/>
                <w:lang w:eastAsia="en-US" w:bidi="fr-FR"/>
              </w:rPr>
            </w:pPr>
            <w:r w:rsidRPr="00A515CB">
              <w:rPr>
                <w:rFonts w:ascii="Calibri" w:eastAsia="Calibri" w:hAnsi="Calibri" w:cs="Calibri"/>
                <w:sz w:val="22"/>
                <w:szCs w:val="22"/>
                <w:lang w:eastAsia="en-US" w:bidi="fr-FR"/>
              </w:rPr>
              <w:t>Jugement ordonnant le maintien de la période d’observation jusqu’à son terme</w:t>
            </w:r>
            <w:r>
              <w:rPr>
                <w:rFonts w:ascii="Calibri" w:eastAsia="Calibri" w:hAnsi="Calibri" w:cs="Calibri"/>
                <w:sz w:val="22"/>
                <w:szCs w:val="22"/>
                <w:lang w:eastAsia="en-US" w:bidi="fr-FR"/>
              </w:rPr>
              <w:t>.</w:t>
            </w:r>
          </w:p>
        </w:tc>
      </w:tr>
      <w:tr w:rsidR="00F363F0" w:rsidRPr="00F363F0" w14:paraId="50C5C0F0" w14:textId="77777777" w:rsidTr="00CB411E">
        <w:tblPrEx>
          <w:jc w:val="left"/>
        </w:tblPrEx>
        <w:trPr>
          <w:trHeight w:val="542"/>
        </w:trPr>
        <w:tc>
          <w:tcPr>
            <w:tcW w:w="2688" w:type="dxa"/>
            <w:tcBorders>
              <w:top w:val="single" w:sz="4" w:space="0" w:color="747678"/>
              <w:left w:val="single" w:sz="4" w:space="0" w:color="747678"/>
              <w:bottom w:val="single" w:sz="4" w:space="0" w:color="747678"/>
              <w:right w:val="single" w:sz="4" w:space="0" w:color="747678"/>
            </w:tcBorders>
            <w:vAlign w:val="center"/>
            <w:hideMark/>
          </w:tcPr>
          <w:p w14:paraId="0DA024D2" w14:textId="427F1B1D" w:rsidR="00F363F0" w:rsidRPr="00F363F0" w:rsidRDefault="000F06D6" w:rsidP="00F363F0">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2 août</w:t>
            </w:r>
            <w:r w:rsidR="00F363F0" w:rsidRPr="00F363F0">
              <w:rPr>
                <w:rFonts w:ascii="Calibri" w:eastAsia="Calibri" w:hAnsi="Calibri" w:cs="Calibri"/>
                <w:b/>
                <w:sz w:val="22"/>
                <w:szCs w:val="22"/>
                <w:lang w:eastAsia="en-US" w:bidi="fr-FR"/>
              </w:rPr>
              <w:t xml:space="preserve"> 2025</w:t>
            </w:r>
          </w:p>
        </w:tc>
        <w:tc>
          <w:tcPr>
            <w:tcW w:w="7523" w:type="dxa"/>
            <w:tcBorders>
              <w:top w:val="single" w:sz="4" w:space="0" w:color="747678"/>
              <w:left w:val="single" w:sz="4" w:space="0" w:color="747678"/>
              <w:bottom w:val="single" w:sz="4" w:space="0" w:color="747678"/>
              <w:right w:val="single" w:sz="4" w:space="0" w:color="747678"/>
            </w:tcBorders>
            <w:vAlign w:val="center"/>
            <w:hideMark/>
          </w:tcPr>
          <w:p w14:paraId="53B13832" w14:textId="77777777" w:rsidR="00F363F0" w:rsidRPr="00F363F0" w:rsidRDefault="00F363F0" w:rsidP="00F363F0">
            <w:pPr>
              <w:widowControl w:val="0"/>
              <w:ind w:right="-2"/>
              <w:jc w:val="center"/>
              <w:rPr>
                <w:rFonts w:ascii="Calibri" w:eastAsia="Calibri" w:hAnsi="Calibri" w:cs="Calibri"/>
                <w:bCs/>
                <w:sz w:val="22"/>
                <w:szCs w:val="22"/>
                <w:lang w:eastAsia="en-US" w:bidi="fr-FR"/>
              </w:rPr>
            </w:pPr>
            <w:r w:rsidRPr="00F363F0">
              <w:rPr>
                <w:rFonts w:ascii="Calibri" w:eastAsia="Calibri" w:hAnsi="Calibri" w:cs="Calibri"/>
                <w:bCs/>
                <w:sz w:val="22"/>
                <w:szCs w:val="22"/>
                <w:lang w:eastAsia="en-US" w:bidi="fr-FR"/>
              </w:rPr>
              <w:t>Fin du délai de déclaration de créances pour les créanciers métropolitains</w:t>
            </w:r>
          </w:p>
        </w:tc>
      </w:tr>
      <w:tr w:rsidR="00F363F0" w:rsidRPr="00F363F0" w14:paraId="61BC4171" w14:textId="77777777" w:rsidTr="00260917">
        <w:tblPrEx>
          <w:jc w:val="left"/>
        </w:tblPrEx>
        <w:trPr>
          <w:trHeight w:val="695"/>
        </w:trPr>
        <w:tc>
          <w:tcPr>
            <w:tcW w:w="2688" w:type="dxa"/>
            <w:tcBorders>
              <w:top w:val="single" w:sz="4" w:space="0" w:color="747678"/>
              <w:left w:val="single" w:sz="4" w:space="0" w:color="747678"/>
              <w:bottom w:val="single" w:sz="4" w:space="0" w:color="747678"/>
              <w:right w:val="single" w:sz="4" w:space="0" w:color="747678"/>
            </w:tcBorders>
            <w:vAlign w:val="center"/>
            <w:hideMark/>
          </w:tcPr>
          <w:p w14:paraId="4D878ACF" w14:textId="5FFD291F" w:rsidR="00F363F0" w:rsidRPr="00F363F0" w:rsidRDefault="000F06D6" w:rsidP="00F363F0">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2 octobre</w:t>
            </w:r>
            <w:r w:rsidR="00F363F0" w:rsidRPr="00F363F0">
              <w:rPr>
                <w:rFonts w:ascii="Calibri" w:eastAsia="Calibri" w:hAnsi="Calibri" w:cs="Calibri"/>
                <w:b/>
                <w:sz w:val="22"/>
                <w:szCs w:val="22"/>
                <w:lang w:eastAsia="en-US" w:bidi="fr-FR"/>
              </w:rPr>
              <w:t xml:space="preserve"> 2025</w:t>
            </w:r>
          </w:p>
        </w:tc>
        <w:tc>
          <w:tcPr>
            <w:tcW w:w="7523" w:type="dxa"/>
            <w:tcBorders>
              <w:top w:val="single" w:sz="4" w:space="0" w:color="747678"/>
              <w:left w:val="single" w:sz="4" w:space="0" w:color="747678"/>
              <w:bottom w:val="single" w:sz="4" w:space="0" w:color="747678"/>
              <w:right w:val="single" w:sz="4" w:space="0" w:color="747678"/>
            </w:tcBorders>
            <w:vAlign w:val="center"/>
            <w:hideMark/>
          </w:tcPr>
          <w:p w14:paraId="63E4F5F2" w14:textId="109F7F28" w:rsidR="00F363F0" w:rsidRPr="00F363F0" w:rsidRDefault="00A10463" w:rsidP="00F363F0">
            <w:pPr>
              <w:widowControl w:val="0"/>
              <w:ind w:right="-2"/>
              <w:jc w:val="center"/>
              <w:rPr>
                <w:rFonts w:ascii="Calibri" w:eastAsia="Calibri" w:hAnsi="Calibri" w:cs="Calibri"/>
                <w:bCs/>
                <w:sz w:val="22"/>
                <w:szCs w:val="22"/>
                <w:lang w:eastAsia="en-US" w:bidi="fr-FR"/>
              </w:rPr>
            </w:pPr>
            <w:r w:rsidRPr="00F363F0">
              <w:rPr>
                <w:rFonts w:ascii="Calibri" w:eastAsia="Calibri" w:hAnsi="Calibri" w:cs="Calibri"/>
                <w:bCs/>
                <w:sz w:val="22"/>
                <w:szCs w:val="22"/>
                <w:lang w:eastAsia="en-US" w:bidi="fr-FR"/>
              </w:rPr>
              <w:t>Fin du délai de déclaration de créances pour les créanciers étrangers et situés dans les DROM-TOM</w:t>
            </w:r>
          </w:p>
        </w:tc>
      </w:tr>
      <w:tr w:rsidR="0053107B" w:rsidRPr="00F363F0" w14:paraId="7783F48D" w14:textId="77777777" w:rsidTr="004651D3">
        <w:tblPrEx>
          <w:jc w:val="left"/>
        </w:tblPrEx>
        <w:trPr>
          <w:trHeight w:val="690"/>
        </w:trPr>
        <w:tc>
          <w:tcPr>
            <w:tcW w:w="2688" w:type="dxa"/>
            <w:tcBorders>
              <w:top w:val="single" w:sz="4" w:space="0" w:color="747678"/>
              <w:left w:val="single" w:sz="4" w:space="0" w:color="747678"/>
              <w:bottom w:val="single" w:sz="4" w:space="0" w:color="747678"/>
              <w:right w:val="single" w:sz="4" w:space="0" w:color="747678"/>
            </w:tcBorders>
            <w:vAlign w:val="center"/>
          </w:tcPr>
          <w:p w14:paraId="70378671" w14:textId="737AD02C" w:rsidR="0053107B" w:rsidRDefault="00C1603F" w:rsidP="004651D3">
            <w:pPr>
              <w:widowControl w:val="0"/>
              <w:ind w:right="-2"/>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13 novembre 2025</w:t>
            </w:r>
          </w:p>
        </w:tc>
        <w:tc>
          <w:tcPr>
            <w:tcW w:w="7523" w:type="dxa"/>
            <w:tcBorders>
              <w:top w:val="single" w:sz="4" w:space="0" w:color="747678"/>
              <w:left w:val="single" w:sz="4" w:space="0" w:color="747678"/>
              <w:bottom w:val="single" w:sz="4" w:space="0" w:color="747678"/>
              <w:right w:val="single" w:sz="4" w:space="0" w:color="747678"/>
            </w:tcBorders>
            <w:vAlign w:val="center"/>
          </w:tcPr>
          <w:p w14:paraId="1D2D8CEC" w14:textId="3CECB3E6" w:rsidR="0053107B" w:rsidRDefault="0053107B" w:rsidP="004651D3">
            <w:pPr>
              <w:widowControl w:val="0"/>
              <w:ind w:right="-2"/>
              <w:jc w:val="center"/>
              <w:rPr>
                <w:rFonts w:ascii="Calibri" w:eastAsia="Calibri" w:hAnsi="Calibri" w:cs="Calibri"/>
                <w:bCs/>
                <w:sz w:val="22"/>
                <w:szCs w:val="22"/>
                <w:lang w:eastAsia="en-US" w:bidi="fr-FR"/>
              </w:rPr>
            </w:pPr>
            <w:r>
              <w:rPr>
                <w:rFonts w:ascii="Calibri" w:eastAsia="Calibri" w:hAnsi="Calibri" w:cs="Calibri"/>
                <w:bCs/>
                <w:sz w:val="22"/>
                <w:szCs w:val="22"/>
                <w:lang w:eastAsia="en-US" w:bidi="fr-FR"/>
              </w:rPr>
              <w:t xml:space="preserve">Jugement autorisant le renouvellement de la période d’observation pour une durée de </w:t>
            </w:r>
            <w:r w:rsidR="00215E4E">
              <w:rPr>
                <w:rFonts w:ascii="Calibri" w:eastAsia="Calibri" w:hAnsi="Calibri" w:cs="Calibri"/>
                <w:bCs/>
                <w:sz w:val="22"/>
                <w:szCs w:val="22"/>
                <w:lang w:eastAsia="en-US" w:bidi="fr-FR"/>
              </w:rPr>
              <w:t>6</w:t>
            </w:r>
            <w:r>
              <w:rPr>
                <w:rFonts w:ascii="Calibri" w:eastAsia="Calibri" w:hAnsi="Calibri" w:cs="Calibri"/>
                <w:bCs/>
                <w:sz w:val="22"/>
                <w:szCs w:val="22"/>
                <w:lang w:eastAsia="en-US" w:bidi="fr-FR"/>
              </w:rPr>
              <w:t xml:space="preserve"> mois, soit jusqu’au </w:t>
            </w:r>
            <w:r w:rsidR="00215E4E">
              <w:rPr>
                <w:rFonts w:ascii="Calibri" w:eastAsia="Calibri" w:hAnsi="Calibri" w:cs="Calibri"/>
                <w:bCs/>
                <w:sz w:val="22"/>
                <w:szCs w:val="22"/>
                <w:lang w:eastAsia="en-US" w:bidi="fr-FR"/>
              </w:rPr>
              <w:t>15 mai</w:t>
            </w:r>
            <w:r>
              <w:rPr>
                <w:rFonts w:ascii="Calibri" w:eastAsia="Calibri" w:hAnsi="Calibri" w:cs="Calibri"/>
                <w:bCs/>
                <w:sz w:val="22"/>
                <w:szCs w:val="22"/>
                <w:lang w:eastAsia="en-US" w:bidi="fr-FR"/>
              </w:rPr>
              <w:t xml:space="preserve"> 2026</w:t>
            </w:r>
            <w:r w:rsidR="00070F82">
              <w:rPr>
                <w:rFonts w:ascii="Calibri" w:eastAsia="Calibri" w:hAnsi="Calibri" w:cs="Calibri"/>
                <w:bCs/>
                <w:sz w:val="22"/>
                <w:szCs w:val="22"/>
                <w:lang w:eastAsia="en-US" w:bidi="fr-FR"/>
              </w:rPr>
              <w:t>, portant la durée totale de la période d’observation à 12 mois</w:t>
            </w:r>
          </w:p>
        </w:tc>
      </w:tr>
      <w:tr w:rsidR="0053107B" w:rsidRPr="0025342B" w14:paraId="33E30CC0" w14:textId="77777777" w:rsidTr="004651D3">
        <w:trPr>
          <w:trHeight w:val="700"/>
          <w:jc w:val="center"/>
        </w:trPr>
        <w:tc>
          <w:tcPr>
            <w:tcW w:w="2688" w:type="dxa"/>
            <w:tcBorders>
              <w:top w:val="single" w:sz="4" w:space="0" w:color="auto"/>
              <w:left w:val="single" w:sz="4" w:space="0" w:color="auto"/>
              <w:bottom w:val="single" w:sz="4" w:space="0" w:color="auto"/>
              <w:right w:val="single" w:sz="4" w:space="0" w:color="auto"/>
            </w:tcBorders>
            <w:vAlign w:val="center"/>
          </w:tcPr>
          <w:p w14:paraId="56C42E03" w14:textId="62404289" w:rsidR="0053107B" w:rsidRPr="0025342B" w:rsidRDefault="00A10463" w:rsidP="004651D3">
            <w:pPr>
              <w:jc w:val="center"/>
              <w:rPr>
                <w:rFonts w:ascii="Calibri" w:eastAsia="Calibri" w:hAnsi="Calibri" w:cs="Calibri"/>
                <w:b/>
                <w:sz w:val="22"/>
                <w:szCs w:val="22"/>
                <w:lang w:eastAsia="en-US" w:bidi="fr-FR"/>
              </w:rPr>
            </w:pPr>
            <w:r>
              <w:rPr>
                <w:rFonts w:ascii="Calibri" w:eastAsia="Calibri" w:hAnsi="Calibri" w:cs="Calibri"/>
                <w:b/>
                <w:sz w:val="22"/>
                <w:szCs w:val="22"/>
                <w:lang w:eastAsia="en-US" w:bidi="fr-FR"/>
              </w:rPr>
              <w:t>15 mai</w:t>
            </w:r>
            <w:r w:rsidR="0053107B">
              <w:rPr>
                <w:rFonts w:ascii="Calibri" w:eastAsia="Calibri" w:hAnsi="Calibri" w:cs="Calibri"/>
                <w:b/>
                <w:sz w:val="22"/>
                <w:szCs w:val="22"/>
                <w:lang w:eastAsia="en-US" w:bidi="fr-FR"/>
              </w:rPr>
              <w:t xml:space="preserve"> 2026</w:t>
            </w:r>
          </w:p>
        </w:tc>
        <w:tc>
          <w:tcPr>
            <w:tcW w:w="7523" w:type="dxa"/>
            <w:tcBorders>
              <w:top w:val="single" w:sz="4" w:space="0" w:color="auto"/>
              <w:left w:val="single" w:sz="4" w:space="0" w:color="auto"/>
              <w:bottom w:val="single" w:sz="4" w:space="0" w:color="auto"/>
              <w:right w:val="single" w:sz="4" w:space="0" w:color="auto"/>
            </w:tcBorders>
            <w:vAlign w:val="center"/>
          </w:tcPr>
          <w:p w14:paraId="3F261AE8" w14:textId="77777777" w:rsidR="0053107B" w:rsidRPr="0025342B" w:rsidRDefault="0053107B" w:rsidP="004651D3">
            <w:pPr>
              <w:widowControl w:val="0"/>
              <w:tabs>
                <w:tab w:val="left" w:pos="6658"/>
              </w:tabs>
              <w:ind w:left="108" w:right="133"/>
              <w:jc w:val="center"/>
              <w:rPr>
                <w:rFonts w:ascii="Calibri" w:eastAsia="Calibri" w:hAnsi="Calibri" w:cs="Calibri"/>
                <w:sz w:val="22"/>
                <w:szCs w:val="22"/>
                <w:lang w:eastAsia="en-US" w:bidi="fr-FR"/>
              </w:rPr>
            </w:pPr>
            <w:r w:rsidRPr="0025342B">
              <w:rPr>
                <w:rFonts w:ascii="Calibri" w:eastAsia="Calibri" w:hAnsi="Calibri" w:cs="Calibri"/>
                <w:sz w:val="22"/>
                <w:szCs w:val="22"/>
                <w:lang w:eastAsia="en-US" w:bidi="fr-FR"/>
              </w:rPr>
              <w:t xml:space="preserve">Fin de la période d’observation </w:t>
            </w:r>
            <w:r>
              <w:rPr>
                <w:rFonts w:ascii="Calibri" w:eastAsia="Calibri" w:hAnsi="Calibri" w:cs="Calibri"/>
                <w:sz w:val="22"/>
                <w:szCs w:val="22"/>
                <w:lang w:eastAsia="en-US" w:bidi="fr-FR"/>
              </w:rPr>
              <w:t xml:space="preserve">(12 </w:t>
            </w:r>
            <w:r w:rsidRPr="0025342B">
              <w:rPr>
                <w:rFonts w:ascii="Calibri" w:eastAsia="Calibri" w:hAnsi="Calibri" w:cs="Calibri"/>
                <w:sz w:val="22"/>
                <w:szCs w:val="22"/>
                <w:lang w:eastAsia="en-US" w:bidi="fr-FR"/>
              </w:rPr>
              <w:t>mois)</w:t>
            </w:r>
          </w:p>
        </w:tc>
      </w:tr>
    </w:tbl>
    <w:p w14:paraId="3186696A" w14:textId="77777777" w:rsidR="0025342B" w:rsidRDefault="0025342B" w:rsidP="00AA5855">
      <w:pPr>
        <w:rPr>
          <w:rFonts w:ascii="Calibri" w:hAnsi="Calibri" w:cs="Calibri"/>
          <w:sz w:val="22"/>
          <w:szCs w:val="22"/>
        </w:rPr>
      </w:pPr>
    </w:p>
    <w:p w14:paraId="482329C5" w14:textId="77777777" w:rsidR="007C1F9A" w:rsidRDefault="007C1F9A">
      <w:pPr>
        <w:spacing w:after="160" w:line="259" w:lineRule="auto"/>
        <w:rPr>
          <w:rFonts w:ascii="Calibri" w:hAnsi="Calibri" w:cs="Calibri"/>
          <w:b/>
          <w:caps/>
        </w:rPr>
      </w:pPr>
      <w:r>
        <w:rPr>
          <w:rFonts w:ascii="Calibri" w:hAnsi="Calibri" w:cs="Calibri"/>
          <w:b/>
          <w:caps/>
        </w:rPr>
        <w:br w:type="page"/>
      </w:r>
    </w:p>
    <w:p w14:paraId="28DF3C07" w14:textId="75474798" w:rsidR="0025342B" w:rsidRPr="00305C0B" w:rsidRDefault="0025342B"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2" w:name="_Toc191908180"/>
      <w:bookmarkStart w:id="3" w:name="_Toc210645996"/>
      <w:bookmarkStart w:id="4" w:name="_Toc222908284"/>
      <w:r w:rsidRPr="00305C0B">
        <w:rPr>
          <w:rFonts w:ascii="Calibri" w:hAnsi="Calibri" w:cs="Calibri"/>
          <w:b/>
          <w:sz w:val="22"/>
          <w:szCs w:val="22"/>
        </w:rPr>
        <w:lastRenderedPageBreak/>
        <w:t>PRESENTATION DE LA SOCIETE</w:t>
      </w:r>
      <w:bookmarkEnd w:id="2"/>
      <w:bookmarkEnd w:id="3"/>
      <w:bookmarkEnd w:id="4"/>
    </w:p>
    <w:p w14:paraId="27ED354C" w14:textId="77777777" w:rsidR="0038464E" w:rsidRDefault="0038464E" w:rsidP="0038464E">
      <w:pPr>
        <w:numPr>
          <w:ilvl w:val="12"/>
          <w:numId w:val="0"/>
        </w:numPr>
        <w:rPr>
          <w:rFonts w:cs="Calibri"/>
          <w:szCs w:val="22"/>
        </w:rPr>
      </w:pPr>
    </w:p>
    <w:p w14:paraId="35B6FFF4" w14:textId="3270AEFA" w:rsidR="00CB7101" w:rsidRPr="004942C2" w:rsidRDefault="00CB7101" w:rsidP="00B132A0">
      <w:pPr>
        <w:pStyle w:val="Paragraphedeliste"/>
        <w:numPr>
          <w:ilvl w:val="1"/>
          <w:numId w:val="9"/>
        </w:numPr>
        <w:overflowPunct w:val="0"/>
        <w:autoSpaceDE w:val="0"/>
        <w:autoSpaceDN w:val="0"/>
        <w:adjustRightInd w:val="0"/>
        <w:jc w:val="both"/>
        <w:textAlignment w:val="baseline"/>
        <w:outlineLvl w:val="1"/>
        <w:rPr>
          <w:rFonts w:ascii="Calibri" w:hAnsi="Calibri" w:cs="Calibri"/>
          <w:b/>
          <w:sz w:val="22"/>
          <w:szCs w:val="22"/>
          <w:u w:val="single"/>
        </w:rPr>
      </w:pPr>
      <w:bookmarkStart w:id="5" w:name="_Toc185251485"/>
      <w:bookmarkStart w:id="6" w:name="_Toc198722027"/>
      <w:bookmarkStart w:id="7" w:name="_Toc199847371"/>
      <w:bookmarkStart w:id="8" w:name="_Toc200125595"/>
      <w:bookmarkStart w:id="9" w:name="_Toc222908285"/>
      <w:r w:rsidRPr="00CB7101">
        <w:rPr>
          <w:rFonts w:ascii="Calibri" w:hAnsi="Calibri" w:cs="Calibri"/>
          <w:b/>
          <w:sz w:val="22"/>
          <w:szCs w:val="22"/>
          <w:u w:val="single"/>
        </w:rPr>
        <w:t xml:space="preserve">Organigramme du groupe auquel appartient </w:t>
      </w:r>
      <w:bookmarkEnd w:id="5"/>
      <w:bookmarkEnd w:id="6"/>
      <w:bookmarkEnd w:id="7"/>
      <w:bookmarkEnd w:id="8"/>
      <w:r w:rsidR="00AE1F43">
        <w:rPr>
          <w:rFonts w:ascii="Calibri" w:hAnsi="Calibri" w:cs="Calibri"/>
          <w:b/>
          <w:sz w:val="22"/>
          <w:szCs w:val="22"/>
          <w:u w:val="single"/>
        </w:rPr>
        <w:t xml:space="preserve">SCI </w:t>
      </w:r>
      <w:r w:rsidR="004942C2" w:rsidRPr="004942C2">
        <w:rPr>
          <w:rFonts w:ascii="Calibri" w:hAnsi="Calibri" w:cs="Calibri"/>
          <w:b/>
          <w:sz w:val="22"/>
          <w:szCs w:val="22"/>
          <w:u w:val="single"/>
        </w:rPr>
        <w:t>Tolbiac</w:t>
      </w:r>
      <w:bookmarkEnd w:id="9"/>
    </w:p>
    <w:p w14:paraId="488613C6" w14:textId="77777777" w:rsidR="00CB7101" w:rsidRPr="004942C2" w:rsidRDefault="00CB7101" w:rsidP="00CB7101">
      <w:pPr>
        <w:numPr>
          <w:ilvl w:val="12"/>
          <w:numId w:val="0"/>
        </w:numPr>
        <w:rPr>
          <w:rFonts w:ascii="Calibri" w:hAnsi="Calibri" w:cs="Calibri"/>
          <w:sz w:val="22"/>
          <w:szCs w:val="22"/>
        </w:rPr>
      </w:pPr>
    </w:p>
    <w:p w14:paraId="48AEEB86" w14:textId="281C135A" w:rsidR="00CF2B13" w:rsidRDefault="00CF2B13" w:rsidP="00CF2B13">
      <w:pPr>
        <w:numPr>
          <w:ilvl w:val="12"/>
          <w:numId w:val="0"/>
        </w:numPr>
        <w:jc w:val="both"/>
        <w:rPr>
          <w:rFonts w:ascii="Calibri" w:hAnsi="Calibri" w:cs="Calibri"/>
          <w:sz w:val="22"/>
          <w:szCs w:val="22"/>
        </w:rPr>
      </w:pPr>
      <w:r w:rsidRPr="00CB7101">
        <w:rPr>
          <w:rFonts w:ascii="Calibri" w:hAnsi="Calibri" w:cs="Calibri"/>
          <w:sz w:val="22"/>
          <w:szCs w:val="22"/>
        </w:rPr>
        <w:t>L’organigramme du Groupe HFI (ci-après désigné le « </w:t>
      </w:r>
      <w:r w:rsidRPr="00CB7101">
        <w:rPr>
          <w:rFonts w:ascii="Calibri" w:hAnsi="Calibri" w:cs="Calibri"/>
          <w:b/>
          <w:bCs/>
          <w:i/>
          <w:iCs/>
          <w:sz w:val="22"/>
          <w:szCs w:val="22"/>
        </w:rPr>
        <w:t>Groupe</w:t>
      </w:r>
      <w:r w:rsidRPr="00CB7101">
        <w:rPr>
          <w:rFonts w:ascii="Calibri" w:hAnsi="Calibri" w:cs="Calibri"/>
          <w:sz w:val="22"/>
          <w:szCs w:val="22"/>
        </w:rPr>
        <w:t> »), auquel appartient</w:t>
      </w:r>
      <w:r w:rsidR="00A60D75">
        <w:rPr>
          <w:rFonts w:ascii="Calibri" w:hAnsi="Calibri" w:cs="Calibri"/>
          <w:sz w:val="22"/>
          <w:szCs w:val="22"/>
        </w:rPr>
        <w:t xml:space="preserve"> SCI Tolbiac </w:t>
      </w:r>
      <w:r w:rsidRPr="00CB7101">
        <w:rPr>
          <w:rFonts w:ascii="Calibri" w:hAnsi="Calibri" w:cs="Calibri"/>
          <w:sz w:val="22"/>
          <w:szCs w:val="22"/>
        </w:rPr>
        <w:t>est présenté ci-après.</w:t>
      </w:r>
    </w:p>
    <w:p w14:paraId="798E5E39" w14:textId="77777777" w:rsidR="00CF2B13" w:rsidRDefault="00CF2B13" w:rsidP="00CF2B13">
      <w:pPr>
        <w:numPr>
          <w:ilvl w:val="12"/>
          <w:numId w:val="0"/>
        </w:numPr>
        <w:rPr>
          <w:rFonts w:ascii="Calibri" w:hAnsi="Calibri" w:cs="Calibri"/>
          <w:sz w:val="22"/>
          <w:szCs w:val="22"/>
        </w:rPr>
      </w:pPr>
    </w:p>
    <w:p w14:paraId="65C1BC26" w14:textId="77777777" w:rsidR="00CF2B13" w:rsidRPr="00CB7101" w:rsidRDefault="00CF2B13" w:rsidP="00CF2B13">
      <w:pPr>
        <w:numPr>
          <w:ilvl w:val="12"/>
          <w:numId w:val="0"/>
        </w:numPr>
        <w:ind w:left="-851"/>
        <w:jc w:val="center"/>
        <w:rPr>
          <w:rFonts w:ascii="Calibri" w:hAnsi="Calibri" w:cs="Calibri"/>
          <w:sz w:val="22"/>
          <w:szCs w:val="22"/>
        </w:rPr>
      </w:pPr>
      <w:r w:rsidRPr="000423D8">
        <w:rPr>
          <w:rFonts w:ascii="Calibri" w:hAnsi="Calibri" w:cs="Calibri"/>
          <w:noProof/>
          <w:sz w:val="22"/>
          <w:szCs w:val="22"/>
        </w:rPr>
        <w:drawing>
          <wp:inline distT="0" distB="0" distL="0" distR="0" wp14:anchorId="2981E40C" wp14:editId="77167925">
            <wp:extent cx="6807200" cy="3190499"/>
            <wp:effectExtent l="0" t="0" r="0" b="0"/>
            <wp:docPr id="76025288" name="Image 1"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5288" name="Image 1" descr="Une image contenant texte, capture d’écran, diagramme, Police&#10;&#10;Le contenu généré par l’IA peut être incorrect."/>
                    <pic:cNvPicPr/>
                  </pic:nvPicPr>
                  <pic:blipFill>
                    <a:blip r:embed="rId9"/>
                    <a:stretch>
                      <a:fillRect/>
                    </a:stretch>
                  </pic:blipFill>
                  <pic:spPr>
                    <a:xfrm>
                      <a:off x="0" y="0"/>
                      <a:ext cx="6819132" cy="3196091"/>
                    </a:xfrm>
                    <a:prstGeom prst="rect">
                      <a:avLst/>
                    </a:prstGeom>
                  </pic:spPr>
                </pic:pic>
              </a:graphicData>
            </a:graphic>
          </wp:inline>
        </w:drawing>
      </w:r>
    </w:p>
    <w:p w14:paraId="545BD8FE" w14:textId="77777777" w:rsidR="00CF2B13" w:rsidRDefault="00CF2B13" w:rsidP="00CF2B13">
      <w:pPr>
        <w:numPr>
          <w:ilvl w:val="12"/>
          <w:numId w:val="0"/>
        </w:numPr>
        <w:rPr>
          <w:rFonts w:cs="Calibri"/>
          <w:szCs w:val="22"/>
        </w:rPr>
      </w:pPr>
    </w:p>
    <w:p w14:paraId="62A06449" w14:textId="77777777" w:rsidR="00CF2B13" w:rsidRDefault="00CF2B13" w:rsidP="00CF2B13">
      <w:pPr>
        <w:pStyle w:val="2MAJ-paragraphe"/>
      </w:pPr>
      <w:r w:rsidRPr="008E0F2F">
        <w:t xml:space="preserve">Le Groupe est composé de </w:t>
      </w:r>
      <w:r>
        <w:t>36</w:t>
      </w:r>
      <w:r w:rsidRPr="008E0F2F">
        <w:t xml:space="preserve"> sociétés</w:t>
      </w:r>
      <w:r>
        <w:t>,</w:t>
      </w:r>
      <w:r w:rsidRPr="008E0F2F">
        <w:t xml:space="preserve"> dont</w:t>
      </w:r>
      <w:r>
        <w:t xml:space="preserve"> </w:t>
      </w:r>
      <w:r w:rsidRPr="008E0F2F">
        <w:t>30 sociétés font l’objet d’une procédure de redressement judiciaire</w:t>
      </w:r>
      <w:r>
        <w:t xml:space="preserve"> et détiennen</w:t>
      </w:r>
      <w:r w:rsidRPr="00BD2E0D">
        <w:t xml:space="preserve">t </w:t>
      </w:r>
      <w:r>
        <w:t xml:space="preserve">ensemble </w:t>
      </w:r>
      <w:r w:rsidRPr="00BD2E0D">
        <w:t>76 actifs</w:t>
      </w:r>
      <w:r>
        <w:t xml:space="preserve"> immobiliers</w:t>
      </w:r>
      <w:r w:rsidRPr="00BD2E0D">
        <w:t>.</w:t>
      </w:r>
    </w:p>
    <w:p w14:paraId="3E342075" w14:textId="77777777" w:rsidR="00CF2B13" w:rsidRDefault="00CF2B13" w:rsidP="00CF2B13">
      <w:pPr>
        <w:pStyle w:val="2MAJ-paragraphe"/>
      </w:pPr>
    </w:p>
    <w:p w14:paraId="70CDFD78" w14:textId="77777777" w:rsidR="00CF2B13" w:rsidRPr="008E0F2F" w:rsidRDefault="00CF2B13" w:rsidP="00CF2B13">
      <w:pPr>
        <w:pStyle w:val="2MAJ-paragraphe"/>
      </w:pPr>
      <w:r>
        <w:t>Des procédures de redressement judiciaire ont successivement été ouvertes à l’égard des sociétés du Groupe par le Tribunal des activités économiques de Paris :</w:t>
      </w:r>
    </w:p>
    <w:p w14:paraId="731FC148" w14:textId="77777777" w:rsidR="00B66D11" w:rsidRDefault="00B66D11" w:rsidP="003459A5">
      <w:pPr>
        <w:pStyle w:val="2MAJ-paragraphe"/>
      </w:pPr>
    </w:p>
    <w:tbl>
      <w:tblPr>
        <w:tblStyle w:val="Grilledutableau"/>
        <w:tblW w:w="10401" w:type="dxa"/>
        <w:tblInd w:w="-289" w:type="dxa"/>
        <w:tblLook w:val="04A0" w:firstRow="1" w:lastRow="0" w:firstColumn="1" w:lastColumn="0" w:noHBand="0" w:noVBand="1"/>
      </w:tblPr>
      <w:tblGrid>
        <w:gridCol w:w="2665"/>
        <w:gridCol w:w="3402"/>
        <w:gridCol w:w="4334"/>
      </w:tblGrid>
      <w:tr w:rsidR="00B66D11" w:rsidRPr="008E3758" w14:paraId="2A01999E" w14:textId="77777777" w:rsidTr="004651D3">
        <w:trPr>
          <w:trHeight w:val="397"/>
          <w:tblHeader/>
        </w:trPr>
        <w:tc>
          <w:tcPr>
            <w:tcW w:w="2665" w:type="dxa"/>
            <w:shd w:val="clear" w:color="auto" w:fill="FFC000"/>
            <w:vAlign w:val="center"/>
          </w:tcPr>
          <w:p w14:paraId="2446D262" w14:textId="77777777" w:rsidR="00B66D11" w:rsidRPr="008E3758" w:rsidRDefault="00B66D11" w:rsidP="003459A5">
            <w:pPr>
              <w:pStyle w:val="2MAJ-paragraphe"/>
            </w:pPr>
            <w:r w:rsidRPr="008E3758">
              <w:t>Date d’ouverture de la procédure collective</w:t>
            </w:r>
          </w:p>
        </w:tc>
        <w:tc>
          <w:tcPr>
            <w:tcW w:w="3402" w:type="dxa"/>
            <w:shd w:val="clear" w:color="auto" w:fill="FFC000"/>
            <w:vAlign w:val="center"/>
          </w:tcPr>
          <w:p w14:paraId="4C01B804" w14:textId="77777777" w:rsidR="00B66D11" w:rsidRPr="008E3758" w:rsidRDefault="00B66D11" w:rsidP="003459A5">
            <w:pPr>
              <w:pStyle w:val="2MAJ-paragraphe"/>
            </w:pPr>
            <w:r w:rsidRPr="008E3758">
              <w:t>Société</w:t>
            </w:r>
          </w:p>
        </w:tc>
        <w:tc>
          <w:tcPr>
            <w:tcW w:w="4334" w:type="dxa"/>
            <w:shd w:val="clear" w:color="auto" w:fill="FFC000"/>
            <w:vAlign w:val="center"/>
          </w:tcPr>
          <w:p w14:paraId="78FD570E" w14:textId="77777777" w:rsidR="00B66D11" w:rsidRPr="008E3758" w:rsidRDefault="00B66D11" w:rsidP="003459A5">
            <w:pPr>
              <w:pStyle w:val="2MAJ-paragraphe"/>
            </w:pPr>
            <w:r w:rsidRPr="008E3758">
              <w:t>Organes de la procédure désignés</w:t>
            </w:r>
          </w:p>
        </w:tc>
      </w:tr>
      <w:tr w:rsidR="00B66D11" w:rsidRPr="00647F8E" w14:paraId="5674A486" w14:textId="77777777" w:rsidTr="004651D3">
        <w:trPr>
          <w:trHeight w:val="397"/>
        </w:trPr>
        <w:tc>
          <w:tcPr>
            <w:tcW w:w="2665" w:type="dxa"/>
            <w:vAlign w:val="center"/>
          </w:tcPr>
          <w:p w14:paraId="1A6EFAAC" w14:textId="77777777" w:rsidR="00B66D11" w:rsidRDefault="00B66D11" w:rsidP="003459A5">
            <w:pPr>
              <w:pStyle w:val="2MAJ-paragraphe"/>
            </w:pPr>
            <w:r w:rsidRPr="00647F8E">
              <w:t>7 novembre 2024</w:t>
            </w:r>
          </w:p>
          <w:p w14:paraId="2E935BC5" w14:textId="77777777" w:rsidR="00B66D11" w:rsidRDefault="00B66D11" w:rsidP="003459A5">
            <w:pPr>
              <w:pStyle w:val="2MAJ-paragraphe"/>
            </w:pPr>
          </w:p>
          <w:p w14:paraId="663472C0" w14:textId="77777777" w:rsidR="00B66D11" w:rsidRPr="00647F8E" w:rsidRDefault="00B66D11" w:rsidP="003459A5">
            <w:pPr>
              <w:pStyle w:val="2MAJ-paragraphe"/>
            </w:pPr>
            <w:r>
              <w:t>1</w:t>
            </w:r>
            <w:r w:rsidRPr="00EF1182">
              <w:rPr>
                <w:vertAlign w:val="superscript"/>
              </w:rPr>
              <w:t>ère</w:t>
            </w:r>
            <w:r>
              <w:t xml:space="preserve"> vague</w:t>
            </w:r>
          </w:p>
        </w:tc>
        <w:tc>
          <w:tcPr>
            <w:tcW w:w="3402" w:type="dxa"/>
            <w:vAlign w:val="center"/>
          </w:tcPr>
          <w:p w14:paraId="052315F5" w14:textId="77777777" w:rsidR="00B66D11" w:rsidRPr="00647F8E" w:rsidRDefault="00B66D11" w:rsidP="003459A5">
            <w:pPr>
              <w:pStyle w:val="2MAJ-paragraphe"/>
            </w:pPr>
            <w:r w:rsidRPr="00647F8E">
              <w:t>Holding Foncière de l’Immobilier</w:t>
            </w:r>
            <w:r>
              <w:t xml:space="preserve"> (ci-après désignée « </w:t>
            </w:r>
            <w:r w:rsidRPr="004308AC">
              <w:rPr>
                <w:b/>
                <w:bCs/>
                <w:i/>
                <w:iCs/>
              </w:rPr>
              <w:t>HFI</w:t>
            </w:r>
            <w:r>
              <w:t> »)</w:t>
            </w:r>
          </w:p>
          <w:p w14:paraId="2E0E0231" w14:textId="77777777" w:rsidR="00B66D11" w:rsidRPr="00647F8E" w:rsidRDefault="00B66D11" w:rsidP="003459A5">
            <w:pPr>
              <w:pStyle w:val="2MAJ-paragraphe"/>
            </w:pPr>
            <w:r w:rsidRPr="00647F8E">
              <w:t>Foncière de Shery</w:t>
            </w:r>
          </w:p>
          <w:p w14:paraId="6A76CF64" w14:textId="3DAFE905" w:rsidR="00B66D11" w:rsidRPr="00647F8E" w:rsidRDefault="00B66D11" w:rsidP="003459A5">
            <w:pPr>
              <w:pStyle w:val="2MAJ-paragraphe"/>
            </w:pPr>
            <w:r w:rsidRPr="00647F8E">
              <w:t>Grande Armée</w:t>
            </w:r>
          </w:p>
          <w:p w14:paraId="6AFF1501" w14:textId="77777777" w:rsidR="00B66D11" w:rsidRPr="00647F8E" w:rsidRDefault="00B66D11" w:rsidP="003459A5">
            <w:pPr>
              <w:pStyle w:val="2MAJ-paragraphe"/>
            </w:pPr>
            <w:r w:rsidRPr="00647F8E">
              <w:t>Foncière Albert Thomas</w:t>
            </w:r>
          </w:p>
          <w:p w14:paraId="56D5B3DC" w14:textId="77777777" w:rsidR="00B66D11" w:rsidRPr="00647F8E" w:rsidRDefault="00B66D11" w:rsidP="003459A5">
            <w:pPr>
              <w:pStyle w:val="2MAJ-paragraphe"/>
            </w:pPr>
            <w:r w:rsidRPr="00647F8E">
              <w:t>Foncière Roquette</w:t>
            </w:r>
          </w:p>
          <w:p w14:paraId="5F61D95C" w14:textId="77777777" w:rsidR="00B66D11" w:rsidRPr="00647F8E" w:rsidRDefault="00B66D11" w:rsidP="003459A5">
            <w:pPr>
              <w:pStyle w:val="2MAJ-paragraphe"/>
            </w:pPr>
            <w:proofErr w:type="spellStart"/>
            <w:r w:rsidRPr="00647F8E">
              <w:t>Simame</w:t>
            </w:r>
            <w:proofErr w:type="spellEnd"/>
          </w:p>
          <w:p w14:paraId="47DC817A" w14:textId="77777777" w:rsidR="00B66D11" w:rsidRPr="00647F8E" w:rsidRDefault="00B66D11" w:rsidP="003459A5">
            <w:pPr>
              <w:pStyle w:val="2MAJ-paragraphe"/>
            </w:pPr>
            <w:r w:rsidRPr="00647F8E">
              <w:t>Simha</w:t>
            </w:r>
          </w:p>
          <w:p w14:paraId="7160041A" w14:textId="77777777" w:rsidR="00B66D11" w:rsidRPr="00647F8E" w:rsidRDefault="00B66D11" w:rsidP="003459A5">
            <w:pPr>
              <w:pStyle w:val="2MAJ-paragraphe"/>
            </w:pPr>
            <w:r w:rsidRPr="00647F8E">
              <w:t>Tournelle</w:t>
            </w:r>
          </w:p>
        </w:tc>
        <w:tc>
          <w:tcPr>
            <w:tcW w:w="4334" w:type="dxa"/>
            <w:vAlign w:val="center"/>
          </w:tcPr>
          <w:p w14:paraId="0B8A5109" w14:textId="77777777" w:rsidR="00B66D11" w:rsidRPr="00647F8E" w:rsidRDefault="00B66D11" w:rsidP="003459A5">
            <w:pPr>
              <w:pStyle w:val="2MAJ-paragraphe"/>
              <w:numPr>
                <w:ilvl w:val="0"/>
                <w:numId w:val="29"/>
              </w:numPr>
            </w:pPr>
            <w:r w:rsidRPr="00647F8E">
              <w:t>Monsieur Charles-Henri Le Chevalier, en qualité de Juge-commissaire,</w:t>
            </w:r>
          </w:p>
          <w:p w14:paraId="545375D9" w14:textId="77777777" w:rsidR="00B66D11" w:rsidRPr="00647F8E" w:rsidRDefault="00B66D11" w:rsidP="003459A5">
            <w:pPr>
              <w:pStyle w:val="2MAJ-paragraphe"/>
              <w:numPr>
                <w:ilvl w:val="0"/>
                <w:numId w:val="29"/>
              </w:numPr>
            </w:pPr>
            <w:r w:rsidRPr="00647F8E">
              <w:t>La SELARL AJASSOCIES prise en la personne de Maître Franck Michel et celle de Maître Maxime Lebreton, en qualité d’administrateur judiciaires, avec une mission d’assistance.</w:t>
            </w:r>
          </w:p>
          <w:p w14:paraId="20DCECC9" w14:textId="77777777" w:rsidR="00B66D11" w:rsidRPr="00647F8E" w:rsidRDefault="00B66D11" w:rsidP="003459A5">
            <w:pPr>
              <w:pStyle w:val="2MAJ-paragraphe"/>
              <w:numPr>
                <w:ilvl w:val="0"/>
                <w:numId w:val="29"/>
              </w:numPr>
            </w:pPr>
            <w:r w:rsidRPr="00647F8E">
              <w:t>La SELAFA MJA, prise en la personne de Maître Valérie Leloup-Thomas, en qualité de mandataire judiciaire.</w:t>
            </w:r>
          </w:p>
        </w:tc>
      </w:tr>
      <w:tr w:rsidR="00B66D11" w:rsidRPr="00647F8E" w14:paraId="30C1CBFC" w14:textId="77777777" w:rsidTr="004651D3">
        <w:trPr>
          <w:trHeight w:val="397"/>
        </w:trPr>
        <w:tc>
          <w:tcPr>
            <w:tcW w:w="2665" w:type="dxa"/>
            <w:vAlign w:val="center"/>
          </w:tcPr>
          <w:p w14:paraId="53D889C9" w14:textId="77777777" w:rsidR="00B66D11" w:rsidRDefault="00B66D11" w:rsidP="003459A5">
            <w:pPr>
              <w:pStyle w:val="2MAJ-paragraphe"/>
            </w:pPr>
            <w:r w:rsidRPr="00647F8E">
              <w:t>16 janvier 2025</w:t>
            </w:r>
          </w:p>
          <w:p w14:paraId="352ACD72" w14:textId="77777777" w:rsidR="00B66D11" w:rsidRDefault="00B66D11" w:rsidP="003459A5">
            <w:pPr>
              <w:pStyle w:val="2MAJ-paragraphe"/>
            </w:pPr>
          </w:p>
          <w:p w14:paraId="461857B2" w14:textId="77777777" w:rsidR="00B66D11" w:rsidRPr="00647F8E" w:rsidRDefault="00B66D11" w:rsidP="003459A5">
            <w:pPr>
              <w:pStyle w:val="2MAJ-paragraphe"/>
            </w:pPr>
            <w:r>
              <w:t>2</w:t>
            </w:r>
            <w:r w:rsidRPr="00EF1182">
              <w:rPr>
                <w:vertAlign w:val="superscript"/>
              </w:rPr>
              <w:t>ème</w:t>
            </w:r>
            <w:r>
              <w:t xml:space="preserve"> vague</w:t>
            </w:r>
          </w:p>
        </w:tc>
        <w:tc>
          <w:tcPr>
            <w:tcW w:w="3402" w:type="dxa"/>
            <w:vAlign w:val="center"/>
          </w:tcPr>
          <w:p w14:paraId="2EE913DE" w14:textId="77777777" w:rsidR="00B66D11" w:rsidRPr="003276CE" w:rsidRDefault="00B66D11" w:rsidP="003459A5">
            <w:pPr>
              <w:pStyle w:val="2MAJ-paragraphe"/>
            </w:pPr>
            <w:r w:rsidRPr="003276CE">
              <w:t>SCI Richer</w:t>
            </w:r>
          </w:p>
          <w:p w14:paraId="3EABFB13" w14:textId="77777777" w:rsidR="00B66D11" w:rsidRPr="003276CE" w:rsidRDefault="00B66D11" w:rsidP="003459A5">
            <w:pPr>
              <w:pStyle w:val="2MAJ-paragraphe"/>
            </w:pPr>
            <w:r w:rsidRPr="003276CE">
              <w:t>Foncière de l’Immobilier</w:t>
            </w:r>
          </w:p>
          <w:p w14:paraId="66CBD00E" w14:textId="77777777" w:rsidR="00B66D11" w:rsidRPr="003276CE" w:rsidRDefault="00B66D11" w:rsidP="003459A5">
            <w:pPr>
              <w:pStyle w:val="2MAJ-paragraphe"/>
            </w:pPr>
            <w:r w:rsidRPr="003276CE">
              <w:t>Foncière Lefebvre</w:t>
            </w:r>
          </w:p>
          <w:p w14:paraId="33F9A638" w14:textId="77777777" w:rsidR="00B66D11" w:rsidRPr="00647F8E" w:rsidRDefault="00B66D11" w:rsidP="003459A5">
            <w:pPr>
              <w:pStyle w:val="2MAJ-paragraphe"/>
            </w:pPr>
            <w:r w:rsidRPr="003276CE">
              <w:t xml:space="preserve">Foncière du </w:t>
            </w:r>
            <w:proofErr w:type="spellStart"/>
            <w:r w:rsidRPr="003276CE">
              <w:t>Retail</w:t>
            </w:r>
            <w:proofErr w:type="spellEnd"/>
          </w:p>
        </w:tc>
        <w:tc>
          <w:tcPr>
            <w:tcW w:w="4334" w:type="dxa"/>
            <w:vAlign w:val="center"/>
          </w:tcPr>
          <w:p w14:paraId="0B6A72DC" w14:textId="77777777" w:rsidR="00B66D11" w:rsidRDefault="00B66D11" w:rsidP="003459A5">
            <w:pPr>
              <w:pStyle w:val="2MAJ-paragraphe"/>
              <w:numPr>
                <w:ilvl w:val="0"/>
                <w:numId w:val="29"/>
              </w:numPr>
            </w:pPr>
            <w:r w:rsidRPr="00647F8E">
              <w:t>Monsieur David Sztabholz, en qualité de Juge-commissaire,</w:t>
            </w:r>
          </w:p>
          <w:p w14:paraId="5F7F29D5" w14:textId="3937023D" w:rsidR="00E13A4B" w:rsidRPr="00647F8E" w:rsidRDefault="00E13A4B" w:rsidP="003459A5">
            <w:pPr>
              <w:pStyle w:val="2MAJ-paragraphe"/>
              <w:numPr>
                <w:ilvl w:val="0"/>
                <w:numId w:val="29"/>
              </w:numPr>
            </w:pPr>
            <w:r w:rsidRPr="00647F8E">
              <w:t>Monsieur Charles-Henri Le Chevalier, en qualité de Juge-commissaire</w:t>
            </w:r>
            <w:r>
              <w:t xml:space="preserve"> suppléant</w:t>
            </w:r>
            <w:r w:rsidRPr="00647F8E">
              <w:t>,</w:t>
            </w:r>
          </w:p>
          <w:p w14:paraId="0DC52476" w14:textId="77777777" w:rsidR="00B66D11" w:rsidRPr="00647F8E" w:rsidRDefault="00B66D11" w:rsidP="003459A5">
            <w:pPr>
              <w:pStyle w:val="2MAJ-paragraphe"/>
              <w:numPr>
                <w:ilvl w:val="0"/>
                <w:numId w:val="29"/>
              </w:numPr>
            </w:pPr>
            <w:r w:rsidRPr="00647F8E">
              <w:lastRenderedPageBreak/>
              <w:t>La SELARL AJASSOCIES prise en la personne de Maître Franck Michel et celle de Maître Maxime Lebreton, en qualité d’administrateur judiciaires, avec une mission d’assistance.</w:t>
            </w:r>
          </w:p>
          <w:p w14:paraId="5F1481BB" w14:textId="77777777" w:rsidR="00B66D11" w:rsidRPr="00647F8E" w:rsidRDefault="00B66D11" w:rsidP="003459A5">
            <w:pPr>
              <w:pStyle w:val="2MAJ-paragraphe"/>
              <w:numPr>
                <w:ilvl w:val="0"/>
                <w:numId w:val="29"/>
              </w:numPr>
            </w:pPr>
            <w:r w:rsidRPr="00647F8E">
              <w:t>La SELAFA MJA, prise en la personne de Maître Valérie Leloup-Thomas, en qualité de mandataire judiciaire.</w:t>
            </w:r>
          </w:p>
        </w:tc>
      </w:tr>
      <w:tr w:rsidR="00B66D11" w:rsidRPr="00647F8E" w14:paraId="1CE2476C" w14:textId="77777777" w:rsidTr="004651D3">
        <w:trPr>
          <w:trHeight w:val="397"/>
        </w:trPr>
        <w:tc>
          <w:tcPr>
            <w:tcW w:w="2665" w:type="dxa"/>
            <w:vAlign w:val="center"/>
          </w:tcPr>
          <w:p w14:paraId="15BB4F5A" w14:textId="77777777" w:rsidR="00B66D11" w:rsidRDefault="00B66D11" w:rsidP="003459A5">
            <w:pPr>
              <w:pStyle w:val="2MAJ-paragraphe"/>
            </w:pPr>
            <w:r w:rsidRPr="00647F8E">
              <w:lastRenderedPageBreak/>
              <w:t>24 avril 2025</w:t>
            </w:r>
          </w:p>
          <w:p w14:paraId="4DDFEA24" w14:textId="77777777" w:rsidR="00B66D11" w:rsidRDefault="00B66D11" w:rsidP="003459A5">
            <w:pPr>
              <w:pStyle w:val="2MAJ-paragraphe"/>
            </w:pPr>
          </w:p>
          <w:p w14:paraId="222634A2" w14:textId="77777777" w:rsidR="00B66D11" w:rsidRPr="00647F8E" w:rsidRDefault="00B66D11" w:rsidP="003459A5">
            <w:pPr>
              <w:pStyle w:val="2MAJ-paragraphe"/>
            </w:pPr>
            <w:r>
              <w:t>3</w:t>
            </w:r>
            <w:r w:rsidRPr="00EF1182">
              <w:rPr>
                <w:vertAlign w:val="superscript"/>
              </w:rPr>
              <w:t>ème</w:t>
            </w:r>
            <w:r>
              <w:t xml:space="preserve"> vague</w:t>
            </w:r>
          </w:p>
        </w:tc>
        <w:tc>
          <w:tcPr>
            <w:tcW w:w="3402" w:type="dxa"/>
            <w:vAlign w:val="center"/>
          </w:tcPr>
          <w:p w14:paraId="2EBDDE41" w14:textId="77777777" w:rsidR="00B66D11" w:rsidRPr="00647F8E" w:rsidRDefault="00B66D11" w:rsidP="003459A5">
            <w:pPr>
              <w:pStyle w:val="2MAJ-paragraphe"/>
            </w:pPr>
            <w:r w:rsidRPr="00647F8E">
              <w:t>Foncière Bienfaisance</w:t>
            </w:r>
          </w:p>
          <w:p w14:paraId="45042E51" w14:textId="77777777" w:rsidR="00B66D11" w:rsidRPr="004942C2" w:rsidRDefault="00B66D11" w:rsidP="003459A5">
            <w:pPr>
              <w:pStyle w:val="2MAJ-paragraphe"/>
            </w:pPr>
            <w:r w:rsidRPr="004942C2">
              <w:t>Foncière Percier</w:t>
            </w:r>
          </w:p>
          <w:p w14:paraId="4C71B6F0" w14:textId="77777777" w:rsidR="00B66D11" w:rsidRPr="00647F8E" w:rsidRDefault="00B66D11" w:rsidP="003459A5">
            <w:pPr>
              <w:pStyle w:val="2MAJ-paragraphe"/>
            </w:pPr>
            <w:r w:rsidRPr="004942C2">
              <w:t>Foncière Faubourg Sain</w:t>
            </w:r>
            <w:r w:rsidRPr="00647F8E">
              <w:t>t Antoine</w:t>
            </w:r>
          </w:p>
          <w:p w14:paraId="4183E30A" w14:textId="77777777" w:rsidR="00B66D11" w:rsidRPr="00647F8E" w:rsidRDefault="00B66D11" w:rsidP="003459A5">
            <w:pPr>
              <w:pStyle w:val="2MAJ-paragraphe"/>
            </w:pPr>
            <w:r w:rsidRPr="00647F8E">
              <w:t>Foncière 24 rue du 4 septembre</w:t>
            </w:r>
          </w:p>
          <w:p w14:paraId="7BA9C5E7" w14:textId="77777777" w:rsidR="00B66D11" w:rsidRPr="00647F8E" w:rsidRDefault="00B66D11" w:rsidP="003459A5">
            <w:pPr>
              <w:pStyle w:val="2MAJ-paragraphe"/>
            </w:pPr>
            <w:r w:rsidRPr="00647F8E">
              <w:t>Foncière Vignon</w:t>
            </w:r>
          </w:p>
          <w:p w14:paraId="3B1A35DD" w14:textId="77777777" w:rsidR="00B66D11" w:rsidRPr="00647F8E" w:rsidRDefault="00B66D11" w:rsidP="003459A5">
            <w:pPr>
              <w:pStyle w:val="2MAJ-paragraphe"/>
            </w:pPr>
            <w:r w:rsidRPr="00647F8E">
              <w:t>SCI Madrid</w:t>
            </w:r>
          </w:p>
        </w:tc>
        <w:tc>
          <w:tcPr>
            <w:tcW w:w="4334" w:type="dxa"/>
            <w:vAlign w:val="center"/>
          </w:tcPr>
          <w:p w14:paraId="77913E5E" w14:textId="77777777" w:rsidR="00B66D11" w:rsidRPr="00647F8E" w:rsidRDefault="00B66D11" w:rsidP="003459A5">
            <w:pPr>
              <w:pStyle w:val="2MAJ-paragraphe"/>
              <w:numPr>
                <w:ilvl w:val="0"/>
                <w:numId w:val="29"/>
              </w:numPr>
            </w:pPr>
            <w:r w:rsidRPr="00647F8E">
              <w:t>Monsieur Charles-Henri Le Chevalier, en qualité de Juge-commissaire,</w:t>
            </w:r>
          </w:p>
          <w:p w14:paraId="1A12893F" w14:textId="77777777" w:rsidR="00B66D11" w:rsidRPr="00647F8E" w:rsidRDefault="00B66D11" w:rsidP="003459A5">
            <w:pPr>
              <w:pStyle w:val="2MAJ-paragraphe"/>
              <w:numPr>
                <w:ilvl w:val="0"/>
                <w:numId w:val="29"/>
              </w:numPr>
            </w:pPr>
            <w:r w:rsidRPr="00647F8E">
              <w:t xml:space="preserve">La SELARL </w:t>
            </w:r>
            <w:r w:rsidRPr="005A6135">
              <w:rPr>
                <w:b/>
                <w:bCs/>
              </w:rPr>
              <w:t>2M&amp;associés</w:t>
            </w:r>
            <w:r w:rsidRPr="00647F8E">
              <w:t>, prise en ma personne, en qualité d’administrateur judiciaire avec une mission d’assistance,</w:t>
            </w:r>
          </w:p>
          <w:p w14:paraId="5427FB58" w14:textId="77777777" w:rsidR="00B66D11" w:rsidRPr="00647F8E" w:rsidRDefault="00B66D11" w:rsidP="003459A5">
            <w:pPr>
              <w:pStyle w:val="2MAJ-paragraphe"/>
              <w:numPr>
                <w:ilvl w:val="0"/>
                <w:numId w:val="29"/>
              </w:numPr>
            </w:pPr>
            <w:r w:rsidRPr="00647F8E">
              <w:t>La SELARL FIDES, prise en la personne de Maître Céline Perdriel Vaissière, en qualité de mandataire judiciaire.</w:t>
            </w:r>
          </w:p>
        </w:tc>
      </w:tr>
      <w:tr w:rsidR="00B66D11" w:rsidRPr="00647F8E" w14:paraId="0A25A58F" w14:textId="77777777" w:rsidTr="004651D3">
        <w:trPr>
          <w:trHeight w:val="397"/>
        </w:trPr>
        <w:tc>
          <w:tcPr>
            <w:tcW w:w="2665" w:type="dxa"/>
            <w:vAlign w:val="center"/>
          </w:tcPr>
          <w:p w14:paraId="2FDAB5A7" w14:textId="77777777" w:rsidR="00B66D11" w:rsidRDefault="00B66D11" w:rsidP="003459A5">
            <w:pPr>
              <w:pStyle w:val="2MAJ-paragraphe"/>
            </w:pPr>
            <w:r w:rsidRPr="00647F8E">
              <w:t>15 mai 2025</w:t>
            </w:r>
          </w:p>
          <w:p w14:paraId="7477A314" w14:textId="77777777" w:rsidR="00B66D11" w:rsidRDefault="00B66D11" w:rsidP="003459A5">
            <w:pPr>
              <w:pStyle w:val="2MAJ-paragraphe"/>
            </w:pPr>
          </w:p>
          <w:p w14:paraId="2CB8272F" w14:textId="77777777" w:rsidR="00B66D11" w:rsidRPr="00647F8E" w:rsidRDefault="00B66D11" w:rsidP="003459A5">
            <w:pPr>
              <w:pStyle w:val="2MAJ-paragraphe"/>
            </w:pPr>
            <w:r>
              <w:t>4</w:t>
            </w:r>
            <w:r w:rsidRPr="00EF1182">
              <w:rPr>
                <w:vertAlign w:val="superscript"/>
              </w:rPr>
              <w:t>ème</w:t>
            </w:r>
            <w:r>
              <w:t xml:space="preserve"> vague</w:t>
            </w:r>
          </w:p>
        </w:tc>
        <w:tc>
          <w:tcPr>
            <w:tcW w:w="3402" w:type="dxa"/>
            <w:vAlign w:val="center"/>
          </w:tcPr>
          <w:p w14:paraId="2FC405B9" w14:textId="77777777" w:rsidR="00B66D11" w:rsidRPr="00647F8E" w:rsidRDefault="00B66D11" w:rsidP="003459A5">
            <w:pPr>
              <w:pStyle w:val="2MAJ-paragraphe"/>
            </w:pPr>
            <w:r w:rsidRPr="00647F8E">
              <w:t>SNC Pélican</w:t>
            </w:r>
          </w:p>
          <w:p w14:paraId="0E1C6745" w14:textId="77777777" w:rsidR="00B66D11" w:rsidRPr="00647F8E" w:rsidRDefault="00B66D11" w:rsidP="003459A5">
            <w:pPr>
              <w:pStyle w:val="2MAJ-paragraphe"/>
            </w:pPr>
            <w:r w:rsidRPr="00647F8E">
              <w:t xml:space="preserve">Foncière </w:t>
            </w:r>
            <w:r>
              <w:t>Edgard</w:t>
            </w:r>
            <w:r w:rsidRPr="00647F8E">
              <w:t xml:space="preserve"> Quinet</w:t>
            </w:r>
          </w:p>
          <w:p w14:paraId="72B28C78" w14:textId="77777777" w:rsidR="00B66D11" w:rsidRPr="00647F8E" w:rsidRDefault="00B66D11" w:rsidP="003459A5">
            <w:pPr>
              <w:pStyle w:val="2MAJ-paragraphe"/>
            </w:pPr>
            <w:r w:rsidRPr="00647F8E">
              <w:t>Foncière Saint Quentin</w:t>
            </w:r>
          </w:p>
          <w:p w14:paraId="46C3BF98" w14:textId="77777777" w:rsidR="00B66D11" w:rsidRPr="00647F8E" w:rsidRDefault="00B66D11" w:rsidP="003459A5">
            <w:pPr>
              <w:pStyle w:val="2MAJ-paragraphe"/>
            </w:pPr>
            <w:r w:rsidRPr="00647F8E">
              <w:t xml:space="preserve">SCI </w:t>
            </w:r>
            <w:proofErr w:type="spellStart"/>
            <w:r w:rsidRPr="00647F8E">
              <w:t>Basfroi</w:t>
            </w:r>
            <w:proofErr w:type="spellEnd"/>
          </w:p>
          <w:p w14:paraId="5E9A088D" w14:textId="77777777" w:rsidR="00B66D11" w:rsidRPr="00647F8E" w:rsidRDefault="00B66D11" w:rsidP="003459A5">
            <w:pPr>
              <w:pStyle w:val="2MAJ-paragraphe"/>
            </w:pPr>
            <w:r w:rsidRPr="00647F8E">
              <w:t>SCI Nouvelle Etoile</w:t>
            </w:r>
          </w:p>
          <w:p w14:paraId="5646FD5C" w14:textId="77777777" w:rsidR="00B66D11" w:rsidRPr="00647F8E" w:rsidRDefault="00B66D11" w:rsidP="003459A5">
            <w:pPr>
              <w:pStyle w:val="2MAJ-paragraphe"/>
            </w:pPr>
            <w:r w:rsidRPr="00647F8E">
              <w:t>SCI Belleville</w:t>
            </w:r>
          </w:p>
          <w:p w14:paraId="7C72A116" w14:textId="77777777" w:rsidR="00B66D11" w:rsidRPr="00647F8E" w:rsidRDefault="00B66D11" w:rsidP="003459A5">
            <w:pPr>
              <w:pStyle w:val="2MAJ-paragraphe"/>
            </w:pPr>
            <w:r w:rsidRPr="00647F8E">
              <w:t>Foncière Réaumur</w:t>
            </w:r>
          </w:p>
          <w:p w14:paraId="549AD40F" w14:textId="77777777" w:rsidR="00B66D11" w:rsidRPr="00647F8E" w:rsidRDefault="00B66D11" w:rsidP="003459A5">
            <w:pPr>
              <w:pStyle w:val="2MAJ-paragraphe"/>
            </w:pPr>
            <w:r w:rsidRPr="00647F8E">
              <w:t>SCI Blanche</w:t>
            </w:r>
          </w:p>
          <w:p w14:paraId="52C62215" w14:textId="77777777" w:rsidR="00B66D11" w:rsidRPr="00647F8E" w:rsidRDefault="00B66D11" w:rsidP="003459A5">
            <w:pPr>
              <w:pStyle w:val="2MAJ-paragraphe"/>
            </w:pPr>
            <w:r w:rsidRPr="00647F8E">
              <w:t>SCI Château d’Eau</w:t>
            </w:r>
          </w:p>
          <w:p w14:paraId="16166948" w14:textId="77777777" w:rsidR="00B66D11" w:rsidRPr="00647F8E" w:rsidRDefault="00B66D11" w:rsidP="003459A5">
            <w:pPr>
              <w:pStyle w:val="2MAJ-paragraphe"/>
            </w:pPr>
            <w:r w:rsidRPr="00647F8E">
              <w:t>SCI Les 3 Vallées</w:t>
            </w:r>
          </w:p>
          <w:p w14:paraId="74D1A6FA" w14:textId="77777777" w:rsidR="00B66D11" w:rsidRPr="00662D32" w:rsidRDefault="00B66D11" w:rsidP="003459A5">
            <w:pPr>
              <w:pStyle w:val="2MAJ-paragraphe"/>
              <w:rPr>
                <w:b/>
                <w:bCs/>
              </w:rPr>
            </w:pPr>
            <w:r w:rsidRPr="00662D32">
              <w:rPr>
                <w:b/>
                <w:bCs/>
              </w:rPr>
              <w:t>SCI Tolbiac</w:t>
            </w:r>
          </w:p>
          <w:p w14:paraId="29FFAB06" w14:textId="77777777" w:rsidR="00B66D11" w:rsidRPr="00647F8E" w:rsidRDefault="00B66D11" w:rsidP="003459A5">
            <w:pPr>
              <w:pStyle w:val="2MAJ-paragraphe"/>
            </w:pPr>
            <w:r w:rsidRPr="00647F8E">
              <w:t>SCI 49 Versailles</w:t>
            </w:r>
          </w:p>
        </w:tc>
        <w:tc>
          <w:tcPr>
            <w:tcW w:w="4334" w:type="dxa"/>
            <w:vAlign w:val="center"/>
          </w:tcPr>
          <w:p w14:paraId="5050D5BA" w14:textId="77777777" w:rsidR="00B66D11" w:rsidRPr="00647F8E" w:rsidRDefault="00B66D11" w:rsidP="003459A5">
            <w:pPr>
              <w:pStyle w:val="2MAJ-paragraphe"/>
              <w:numPr>
                <w:ilvl w:val="0"/>
                <w:numId w:val="29"/>
              </w:numPr>
            </w:pPr>
            <w:r w:rsidRPr="00647F8E">
              <w:t>Monsieur Charles-Henri Le Chevalier, en qualité de Juge-commissaire,</w:t>
            </w:r>
          </w:p>
          <w:p w14:paraId="48242486" w14:textId="77777777" w:rsidR="00B66D11" w:rsidRPr="00647F8E" w:rsidRDefault="00B66D11" w:rsidP="003459A5">
            <w:pPr>
              <w:pStyle w:val="2MAJ-paragraphe"/>
              <w:numPr>
                <w:ilvl w:val="0"/>
                <w:numId w:val="29"/>
              </w:numPr>
            </w:pPr>
            <w:r w:rsidRPr="00647F8E">
              <w:t xml:space="preserve">La SELARL </w:t>
            </w:r>
            <w:r w:rsidRPr="005A6135">
              <w:rPr>
                <w:b/>
                <w:bCs/>
              </w:rPr>
              <w:t>2M&amp;associés</w:t>
            </w:r>
            <w:r w:rsidRPr="00647F8E">
              <w:t>, prise en ma personne, en qualité d’administrateur judiciaire avec une mission d’assistance,</w:t>
            </w:r>
          </w:p>
          <w:p w14:paraId="2D9A0E5C" w14:textId="77777777" w:rsidR="00B66D11" w:rsidRPr="00647F8E" w:rsidRDefault="00B66D11" w:rsidP="003459A5">
            <w:pPr>
              <w:pStyle w:val="2MAJ-paragraphe"/>
              <w:numPr>
                <w:ilvl w:val="0"/>
                <w:numId w:val="29"/>
              </w:numPr>
            </w:pPr>
            <w:r w:rsidRPr="00647F8E">
              <w:t>La SELARL FIDES, prise en la personne de Maître Céline Perdriel Vaissière, en qualité de mandataire judiciaire.</w:t>
            </w:r>
          </w:p>
        </w:tc>
      </w:tr>
    </w:tbl>
    <w:p w14:paraId="24A6A1C2" w14:textId="77777777" w:rsidR="004A757D" w:rsidRPr="00A451B9" w:rsidRDefault="004A757D" w:rsidP="0038464E">
      <w:pPr>
        <w:numPr>
          <w:ilvl w:val="12"/>
          <w:numId w:val="0"/>
        </w:numPr>
        <w:rPr>
          <w:rFonts w:cs="Calibri"/>
          <w:szCs w:val="22"/>
        </w:rPr>
      </w:pPr>
    </w:p>
    <w:p w14:paraId="4BEC257A" w14:textId="77777777" w:rsidR="00065E05" w:rsidRDefault="00065E05">
      <w:pPr>
        <w:spacing w:after="160" w:line="259" w:lineRule="auto"/>
        <w:rPr>
          <w:rFonts w:ascii="Calibri" w:hAnsi="Calibri" w:cs="Calibri"/>
          <w:b/>
          <w:sz w:val="22"/>
          <w:szCs w:val="22"/>
          <w:u w:val="single"/>
        </w:rPr>
      </w:pPr>
      <w:bookmarkStart w:id="10" w:name="_Toc192492202"/>
      <w:bookmarkStart w:id="11" w:name="_Toc210645998"/>
      <w:r>
        <w:rPr>
          <w:rFonts w:ascii="Calibri" w:hAnsi="Calibri" w:cs="Calibri"/>
          <w:b/>
          <w:sz w:val="22"/>
          <w:szCs w:val="22"/>
          <w:u w:val="single"/>
        </w:rPr>
        <w:br w:type="page"/>
      </w:r>
    </w:p>
    <w:p w14:paraId="3D483492" w14:textId="2901FA4D" w:rsidR="004F36D5" w:rsidRDefault="004F36D5" w:rsidP="00B132A0">
      <w:pPr>
        <w:pStyle w:val="Paragraphedeliste"/>
        <w:numPr>
          <w:ilvl w:val="1"/>
          <w:numId w:val="9"/>
        </w:numPr>
        <w:overflowPunct w:val="0"/>
        <w:autoSpaceDE w:val="0"/>
        <w:autoSpaceDN w:val="0"/>
        <w:adjustRightInd w:val="0"/>
        <w:jc w:val="both"/>
        <w:textAlignment w:val="baseline"/>
        <w:outlineLvl w:val="1"/>
        <w:rPr>
          <w:rFonts w:ascii="Calibri" w:hAnsi="Calibri" w:cs="Calibri"/>
          <w:b/>
          <w:sz w:val="22"/>
          <w:szCs w:val="22"/>
          <w:u w:val="single"/>
        </w:rPr>
      </w:pPr>
      <w:bookmarkStart w:id="12" w:name="_Toc222908286"/>
      <w:r>
        <w:rPr>
          <w:rFonts w:ascii="Calibri" w:hAnsi="Calibri" w:cs="Calibri"/>
          <w:b/>
          <w:sz w:val="22"/>
          <w:szCs w:val="22"/>
          <w:u w:val="single"/>
        </w:rPr>
        <w:lastRenderedPageBreak/>
        <w:t>Fiche synthétique de la Société</w:t>
      </w:r>
      <w:bookmarkEnd w:id="12"/>
    </w:p>
    <w:p w14:paraId="260585D1" w14:textId="77777777" w:rsidR="004F36D5" w:rsidRDefault="004F36D5" w:rsidP="00C11DED">
      <w:pPr>
        <w:pStyle w:val="2MAJ-adresse"/>
      </w:pPr>
    </w:p>
    <w:tbl>
      <w:tblPr>
        <w:tblW w:w="10075" w:type="dxa"/>
        <w:tblInd w:w="-147"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CellMar>
          <w:left w:w="0" w:type="dxa"/>
          <w:right w:w="0" w:type="dxa"/>
        </w:tblCellMar>
        <w:tblLook w:val="01E0" w:firstRow="1" w:lastRow="1" w:firstColumn="1" w:lastColumn="1" w:noHBand="0" w:noVBand="0"/>
      </w:tblPr>
      <w:tblGrid>
        <w:gridCol w:w="2420"/>
        <w:gridCol w:w="7655"/>
      </w:tblGrid>
      <w:tr w:rsidR="00476524" w:rsidRPr="00476524" w14:paraId="75AC2BC7" w14:textId="77777777" w:rsidTr="001B17AA">
        <w:trPr>
          <w:trHeight w:val="332"/>
        </w:trPr>
        <w:tc>
          <w:tcPr>
            <w:tcW w:w="2420" w:type="dxa"/>
            <w:vAlign w:val="center"/>
          </w:tcPr>
          <w:p w14:paraId="003EE6AE"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Dénomination sociale</w:t>
            </w:r>
          </w:p>
        </w:tc>
        <w:tc>
          <w:tcPr>
            <w:tcW w:w="7655" w:type="dxa"/>
            <w:vAlign w:val="center"/>
          </w:tcPr>
          <w:p w14:paraId="08245A63"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hAnsi="Calibri" w:cs="Calibri"/>
                <w:sz w:val="22"/>
                <w:szCs w:val="22"/>
              </w:rPr>
              <w:t>TOLBIAC</w:t>
            </w:r>
          </w:p>
        </w:tc>
      </w:tr>
      <w:tr w:rsidR="00476524" w:rsidRPr="00476524" w14:paraId="70D89C1E" w14:textId="77777777" w:rsidTr="001B17AA">
        <w:trPr>
          <w:trHeight w:val="422"/>
        </w:trPr>
        <w:tc>
          <w:tcPr>
            <w:tcW w:w="2420" w:type="dxa"/>
            <w:vAlign w:val="center"/>
          </w:tcPr>
          <w:p w14:paraId="69187920"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Forme juridique</w:t>
            </w:r>
          </w:p>
        </w:tc>
        <w:tc>
          <w:tcPr>
            <w:tcW w:w="7655" w:type="dxa"/>
            <w:vAlign w:val="center"/>
          </w:tcPr>
          <w:p w14:paraId="6AEBBDAE"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hAnsi="Calibri" w:cs="Calibri"/>
                <w:sz w:val="22"/>
                <w:szCs w:val="22"/>
              </w:rPr>
              <w:t>SCI</w:t>
            </w:r>
          </w:p>
        </w:tc>
      </w:tr>
      <w:tr w:rsidR="00476524" w:rsidRPr="00476524" w14:paraId="13819227" w14:textId="77777777" w:rsidTr="001B17AA">
        <w:trPr>
          <w:trHeight w:val="414"/>
        </w:trPr>
        <w:tc>
          <w:tcPr>
            <w:tcW w:w="2420" w:type="dxa"/>
            <w:vAlign w:val="center"/>
          </w:tcPr>
          <w:p w14:paraId="40EA17EB"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Date d’immatriculation</w:t>
            </w:r>
          </w:p>
        </w:tc>
        <w:tc>
          <w:tcPr>
            <w:tcW w:w="7655" w:type="dxa"/>
            <w:vAlign w:val="center"/>
          </w:tcPr>
          <w:p w14:paraId="6FA4774C"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eastAsia="Calibri" w:hAnsi="Calibri" w:cs="Calibri"/>
                <w:sz w:val="22"/>
                <w:szCs w:val="22"/>
                <w:lang w:eastAsia="en-US" w:bidi="fr-FR"/>
              </w:rPr>
              <w:t>13 décembre 2019</w:t>
            </w:r>
          </w:p>
        </w:tc>
      </w:tr>
      <w:tr w:rsidR="00476524" w:rsidRPr="00476524" w14:paraId="5063B753" w14:textId="77777777" w:rsidTr="001B17AA">
        <w:trPr>
          <w:trHeight w:val="530"/>
        </w:trPr>
        <w:tc>
          <w:tcPr>
            <w:tcW w:w="2420" w:type="dxa"/>
            <w:vAlign w:val="center"/>
          </w:tcPr>
          <w:p w14:paraId="6CD0993D"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Registre du commerce et des sociétés</w:t>
            </w:r>
          </w:p>
        </w:tc>
        <w:tc>
          <w:tcPr>
            <w:tcW w:w="7655" w:type="dxa"/>
            <w:vAlign w:val="center"/>
          </w:tcPr>
          <w:p w14:paraId="1993A669" w14:textId="77777777" w:rsidR="00476524" w:rsidRPr="00476524" w:rsidRDefault="00476524" w:rsidP="00476524">
            <w:pPr>
              <w:widowControl w:val="0"/>
              <w:spacing w:before="1"/>
              <w:ind w:firstLine="166"/>
              <w:rPr>
                <w:rFonts w:ascii="Calibri" w:eastAsia="Calibri" w:hAnsi="Calibri" w:cs="Calibri"/>
                <w:sz w:val="22"/>
                <w:szCs w:val="22"/>
                <w:lang w:eastAsia="en-US" w:bidi="fr-FR"/>
              </w:rPr>
            </w:pPr>
            <w:r w:rsidRPr="00476524">
              <w:rPr>
                <w:rFonts w:ascii="Calibri" w:hAnsi="Calibri" w:cs="Calibri"/>
                <w:sz w:val="22"/>
                <w:szCs w:val="22"/>
              </w:rPr>
              <w:t>879 789 477</w:t>
            </w:r>
            <w:r w:rsidRPr="00476524">
              <w:rPr>
                <w:rFonts w:ascii="Calibri" w:eastAsia="Calibri" w:hAnsi="Calibri" w:cs="Calibri"/>
                <w:sz w:val="22"/>
                <w:szCs w:val="22"/>
                <w:lang w:eastAsia="en-US" w:bidi="fr-FR"/>
              </w:rPr>
              <w:t xml:space="preserve"> – RCS de Créteil</w:t>
            </w:r>
          </w:p>
        </w:tc>
      </w:tr>
      <w:tr w:rsidR="00476524" w:rsidRPr="00476524" w14:paraId="7D46D6AB" w14:textId="77777777" w:rsidTr="00A83031">
        <w:trPr>
          <w:trHeight w:val="400"/>
        </w:trPr>
        <w:tc>
          <w:tcPr>
            <w:tcW w:w="2420" w:type="dxa"/>
            <w:vAlign w:val="center"/>
          </w:tcPr>
          <w:p w14:paraId="1C7CD94D"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Siège social</w:t>
            </w:r>
          </w:p>
        </w:tc>
        <w:tc>
          <w:tcPr>
            <w:tcW w:w="7655" w:type="dxa"/>
            <w:vAlign w:val="center"/>
          </w:tcPr>
          <w:p w14:paraId="7CA912E5" w14:textId="068F16B1" w:rsidR="00476524" w:rsidRPr="00476524" w:rsidRDefault="00D14D5C" w:rsidP="00476524">
            <w:pPr>
              <w:widowControl w:val="0"/>
              <w:ind w:left="105" w:firstLine="39"/>
              <w:rPr>
                <w:rFonts w:ascii="Calibri" w:eastAsia="Calibri" w:hAnsi="Calibri" w:cs="Calibri"/>
                <w:sz w:val="22"/>
                <w:szCs w:val="22"/>
                <w:lang w:eastAsia="en-US" w:bidi="fr-FR"/>
              </w:rPr>
            </w:pPr>
            <w:r>
              <w:rPr>
                <w:rFonts w:ascii="Calibri" w:hAnsi="Calibri" w:cs="Calibri"/>
                <w:bCs/>
                <w:sz w:val="22"/>
                <w:szCs w:val="22"/>
              </w:rPr>
              <w:t>5 Avenue de Lincoln</w:t>
            </w:r>
            <w:r w:rsidRPr="00D42364">
              <w:rPr>
                <w:rFonts w:ascii="Calibri" w:hAnsi="Calibri" w:cs="Calibri"/>
                <w:bCs/>
                <w:sz w:val="22"/>
                <w:szCs w:val="22"/>
              </w:rPr>
              <w:t xml:space="preserve"> </w:t>
            </w:r>
            <w:r>
              <w:rPr>
                <w:rFonts w:ascii="Calibri" w:hAnsi="Calibri" w:cs="Calibri"/>
                <w:bCs/>
                <w:sz w:val="22"/>
                <w:szCs w:val="22"/>
              </w:rPr>
              <w:t>–</w:t>
            </w:r>
            <w:r w:rsidRPr="00D42364">
              <w:rPr>
                <w:rFonts w:ascii="Calibri" w:hAnsi="Calibri" w:cs="Calibri"/>
                <w:bCs/>
                <w:sz w:val="22"/>
                <w:szCs w:val="22"/>
              </w:rPr>
              <w:t xml:space="preserve"> </w:t>
            </w:r>
            <w:r>
              <w:rPr>
                <w:rFonts w:ascii="Calibri" w:hAnsi="Calibri" w:cs="Calibri"/>
                <w:bCs/>
                <w:sz w:val="22"/>
                <w:szCs w:val="22"/>
              </w:rPr>
              <w:t>75008 Paris</w:t>
            </w:r>
          </w:p>
        </w:tc>
      </w:tr>
      <w:tr w:rsidR="00476524" w:rsidRPr="00476524" w14:paraId="64708FAB" w14:textId="77777777" w:rsidTr="00A83031">
        <w:trPr>
          <w:trHeight w:val="420"/>
        </w:trPr>
        <w:tc>
          <w:tcPr>
            <w:tcW w:w="2420" w:type="dxa"/>
            <w:vAlign w:val="center"/>
          </w:tcPr>
          <w:p w14:paraId="21A66B83" w14:textId="77777777" w:rsidR="00476524" w:rsidRPr="00476524" w:rsidRDefault="00476524" w:rsidP="00476524">
            <w:pPr>
              <w:widowControl w:val="0"/>
              <w:ind w:left="134" w:right="130" w:firstLine="4"/>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Capital social</w:t>
            </w:r>
          </w:p>
        </w:tc>
        <w:tc>
          <w:tcPr>
            <w:tcW w:w="7655" w:type="dxa"/>
            <w:vAlign w:val="center"/>
          </w:tcPr>
          <w:p w14:paraId="08775124" w14:textId="77777777" w:rsidR="00476524" w:rsidRPr="00476524" w:rsidRDefault="00476524" w:rsidP="00476524">
            <w:pPr>
              <w:ind w:left="146" w:right="285"/>
              <w:jc w:val="both"/>
              <w:rPr>
                <w:rFonts w:ascii="Calibri" w:hAnsi="Calibri" w:cs="Calibri"/>
                <w:sz w:val="22"/>
                <w:szCs w:val="22"/>
              </w:rPr>
            </w:pPr>
            <w:r w:rsidRPr="00476524">
              <w:rPr>
                <w:rFonts w:ascii="Calibri" w:hAnsi="Calibri" w:cs="Calibri"/>
                <w:sz w:val="22"/>
                <w:szCs w:val="22"/>
              </w:rPr>
              <w:t>1 000 €</w:t>
            </w:r>
          </w:p>
        </w:tc>
      </w:tr>
      <w:tr w:rsidR="00476524" w:rsidRPr="00476524" w14:paraId="387224E6" w14:textId="77777777" w:rsidTr="00A83031">
        <w:trPr>
          <w:trHeight w:val="3956"/>
        </w:trPr>
        <w:tc>
          <w:tcPr>
            <w:tcW w:w="2420" w:type="dxa"/>
            <w:vAlign w:val="center"/>
          </w:tcPr>
          <w:p w14:paraId="4D4478CC" w14:textId="77777777" w:rsidR="00476524" w:rsidRPr="00476524" w:rsidRDefault="00476524" w:rsidP="00476524">
            <w:pPr>
              <w:widowControl w:val="0"/>
              <w:ind w:left="134" w:right="130" w:firstLine="4"/>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 xml:space="preserve">Montant et répartition du capital </w:t>
            </w:r>
          </w:p>
        </w:tc>
        <w:tc>
          <w:tcPr>
            <w:tcW w:w="7655" w:type="dxa"/>
            <w:vAlign w:val="center"/>
          </w:tcPr>
          <w:p w14:paraId="56DB169B" w14:textId="77777777" w:rsidR="00476524" w:rsidRPr="00476524" w:rsidRDefault="00476524" w:rsidP="00476524">
            <w:pPr>
              <w:ind w:left="146" w:right="285"/>
              <w:jc w:val="both"/>
              <w:rPr>
                <w:rFonts w:ascii="Calibri" w:hAnsi="Calibri" w:cs="Calibri"/>
                <w:sz w:val="22"/>
                <w:szCs w:val="22"/>
              </w:rPr>
            </w:pPr>
            <w:r w:rsidRPr="00476524">
              <w:rPr>
                <w:rFonts w:ascii="Calibri" w:hAnsi="Calibri" w:cs="Calibri"/>
                <w:sz w:val="22"/>
                <w:szCs w:val="22"/>
              </w:rPr>
              <w:t>Le capital social de la Société d’un montant de 1 000 € est divisé en 100 parts, d’une valeur nominale de 10 €, détenues par :</w:t>
            </w:r>
          </w:p>
          <w:p w14:paraId="2DFF12C0" w14:textId="77777777" w:rsidR="00476524" w:rsidRPr="00476524" w:rsidRDefault="00476524" w:rsidP="00476524">
            <w:pPr>
              <w:ind w:left="146" w:right="285"/>
              <w:rPr>
                <w:rFonts w:ascii="Calibri" w:hAnsi="Calibri" w:cs="Calibri"/>
                <w:sz w:val="22"/>
                <w:szCs w:val="22"/>
              </w:rPr>
            </w:pPr>
          </w:p>
          <w:tbl>
            <w:tblPr>
              <w:tblW w:w="6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2156"/>
            </w:tblGrid>
            <w:tr w:rsidR="00476524" w:rsidRPr="00476524" w14:paraId="5A0AC7F7" w14:textId="77777777" w:rsidTr="00476524">
              <w:trPr>
                <w:trHeight w:val="50"/>
                <w:jc w:val="center"/>
              </w:trPr>
              <w:tc>
                <w:tcPr>
                  <w:tcW w:w="3986" w:type="dxa"/>
                  <w:shd w:val="clear" w:color="auto" w:fill="FFC000"/>
                  <w:vAlign w:val="center"/>
                </w:tcPr>
                <w:p w14:paraId="2D7F0C72" w14:textId="77777777" w:rsidR="00476524" w:rsidRPr="00476524" w:rsidRDefault="00476524" w:rsidP="00476524">
                  <w:pPr>
                    <w:overflowPunct w:val="0"/>
                    <w:autoSpaceDE w:val="0"/>
                    <w:autoSpaceDN w:val="0"/>
                    <w:adjustRightInd w:val="0"/>
                    <w:ind w:left="146"/>
                    <w:textAlignment w:val="baseline"/>
                    <w:rPr>
                      <w:rFonts w:ascii="Calibri" w:hAnsi="Calibri" w:cs="Calibri"/>
                      <w:sz w:val="22"/>
                      <w:szCs w:val="22"/>
                    </w:rPr>
                  </w:pPr>
                  <w:r w:rsidRPr="00476524">
                    <w:rPr>
                      <w:rFonts w:ascii="Calibri" w:hAnsi="Calibri" w:cs="Calibri"/>
                      <w:b/>
                      <w:bCs/>
                      <w:sz w:val="22"/>
                      <w:szCs w:val="22"/>
                    </w:rPr>
                    <w:t xml:space="preserve">Associés </w:t>
                  </w:r>
                </w:p>
              </w:tc>
              <w:tc>
                <w:tcPr>
                  <w:tcW w:w="2156" w:type="dxa"/>
                  <w:shd w:val="clear" w:color="auto" w:fill="FFC000"/>
                  <w:vAlign w:val="center"/>
                </w:tcPr>
                <w:p w14:paraId="7E0D29D5" w14:textId="77777777" w:rsidR="00476524" w:rsidRPr="00476524" w:rsidRDefault="00476524" w:rsidP="00476524">
                  <w:pPr>
                    <w:overflowPunct w:val="0"/>
                    <w:autoSpaceDE w:val="0"/>
                    <w:autoSpaceDN w:val="0"/>
                    <w:adjustRightInd w:val="0"/>
                    <w:ind w:left="146"/>
                    <w:textAlignment w:val="baseline"/>
                    <w:rPr>
                      <w:rFonts w:ascii="Calibri" w:hAnsi="Calibri" w:cs="Calibri"/>
                      <w:sz w:val="22"/>
                      <w:szCs w:val="22"/>
                    </w:rPr>
                  </w:pPr>
                  <w:r w:rsidRPr="00476524">
                    <w:rPr>
                      <w:rFonts w:ascii="Calibri" w:hAnsi="Calibri" w:cs="Calibri"/>
                      <w:b/>
                      <w:bCs/>
                      <w:sz w:val="22"/>
                      <w:szCs w:val="22"/>
                    </w:rPr>
                    <w:t>% de détention du capital social</w:t>
                  </w:r>
                </w:p>
              </w:tc>
            </w:tr>
            <w:tr w:rsidR="00476524" w:rsidRPr="00476524" w14:paraId="3EE283C9" w14:textId="77777777" w:rsidTr="00476524">
              <w:trPr>
                <w:trHeight w:val="217"/>
                <w:jc w:val="center"/>
              </w:trPr>
              <w:tc>
                <w:tcPr>
                  <w:tcW w:w="3986" w:type="dxa"/>
                  <w:vAlign w:val="center"/>
                </w:tcPr>
                <w:p w14:paraId="6AA624AC" w14:textId="77777777" w:rsidR="00476524" w:rsidRPr="00476524" w:rsidRDefault="00476524" w:rsidP="00476524">
                  <w:pPr>
                    <w:overflowPunct w:val="0"/>
                    <w:autoSpaceDE w:val="0"/>
                    <w:autoSpaceDN w:val="0"/>
                    <w:adjustRightInd w:val="0"/>
                    <w:ind w:left="146"/>
                    <w:textAlignment w:val="baseline"/>
                    <w:rPr>
                      <w:rFonts w:ascii="Calibri" w:hAnsi="Calibri" w:cs="Calibri"/>
                      <w:b/>
                      <w:bCs/>
                      <w:sz w:val="22"/>
                      <w:szCs w:val="22"/>
                    </w:rPr>
                  </w:pPr>
                  <w:r w:rsidRPr="00476524">
                    <w:rPr>
                      <w:rFonts w:ascii="Calibri" w:hAnsi="Calibri" w:cs="Calibri"/>
                      <w:b/>
                      <w:bCs/>
                      <w:sz w:val="22"/>
                      <w:szCs w:val="22"/>
                    </w:rPr>
                    <w:t>Monsieur Kevin Danh</w:t>
                  </w:r>
                </w:p>
                <w:p w14:paraId="02D9C171" w14:textId="77777777" w:rsidR="00476524" w:rsidRPr="00476524" w:rsidRDefault="00476524" w:rsidP="00476524">
                  <w:pPr>
                    <w:overflowPunct w:val="0"/>
                    <w:autoSpaceDE w:val="0"/>
                    <w:autoSpaceDN w:val="0"/>
                    <w:adjustRightInd w:val="0"/>
                    <w:ind w:left="146"/>
                    <w:textAlignment w:val="baseline"/>
                    <w:rPr>
                      <w:rFonts w:ascii="Calibri" w:hAnsi="Calibri" w:cs="Calibri"/>
                      <w:sz w:val="22"/>
                      <w:szCs w:val="22"/>
                    </w:rPr>
                  </w:pPr>
                  <w:r w:rsidRPr="00476524">
                    <w:rPr>
                      <w:rFonts w:ascii="Calibri" w:hAnsi="Calibri" w:cs="Calibri"/>
                      <w:sz w:val="22"/>
                      <w:szCs w:val="22"/>
                    </w:rPr>
                    <w:t>Né le 28 février 1990</w:t>
                  </w:r>
                </w:p>
                <w:p w14:paraId="76DEAF30" w14:textId="06AC6762" w:rsidR="00476524" w:rsidRPr="00476524" w:rsidRDefault="00476524" w:rsidP="00476524">
                  <w:pPr>
                    <w:overflowPunct w:val="0"/>
                    <w:autoSpaceDE w:val="0"/>
                    <w:autoSpaceDN w:val="0"/>
                    <w:adjustRightInd w:val="0"/>
                    <w:ind w:left="146"/>
                    <w:textAlignment w:val="baseline"/>
                    <w:rPr>
                      <w:rFonts w:ascii="Calibri" w:hAnsi="Calibri" w:cs="Calibri"/>
                      <w:b/>
                      <w:bCs/>
                      <w:sz w:val="22"/>
                      <w:szCs w:val="22"/>
                    </w:rPr>
                  </w:pPr>
                  <w:r w:rsidRPr="00476524">
                    <w:rPr>
                      <w:rFonts w:ascii="Calibri" w:hAnsi="Calibri" w:cs="Calibri"/>
                      <w:sz w:val="22"/>
                      <w:szCs w:val="22"/>
                    </w:rPr>
                    <w:t xml:space="preserve">Demeurant 119 Avenue Victor Hugo </w:t>
                  </w:r>
                  <w:r w:rsidR="00E77B64">
                    <w:rPr>
                      <w:rFonts w:ascii="Calibri" w:hAnsi="Calibri" w:cs="Calibri"/>
                      <w:sz w:val="22"/>
                      <w:szCs w:val="22"/>
                    </w:rPr>
                    <w:t>-</w:t>
                  </w:r>
                  <w:r w:rsidRPr="00476524">
                    <w:rPr>
                      <w:rFonts w:ascii="Calibri" w:hAnsi="Calibri" w:cs="Calibri"/>
                      <w:sz w:val="22"/>
                      <w:szCs w:val="22"/>
                    </w:rPr>
                    <w:t xml:space="preserve"> 92140 Clamart</w:t>
                  </w:r>
                </w:p>
              </w:tc>
              <w:tc>
                <w:tcPr>
                  <w:tcW w:w="2156" w:type="dxa"/>
                  <w:vAlign w:val="center"/>
                </w:tcPr>
                <w:p w14:paraId="57F3CBE9" w14:textId="77777777" w:rsidR="00476524" w:rsidRPr="00476524" w:rsidRDefault="00476524" w:rsidP="00476524">
                  <w:pPr>
                    <w:overflowPunct w:val="0"/>
                    <w:autoSpaceDE w:val="0"/>
                    <w:autoSpaceDN w:val="0"/>
                    <w:adjustRightInd w:val="0"/>
                    <w:ind w:left="3"/>
                    <w:jc w:val="center"/>
                    <w:textAlignment w:val="baseline"/>
                    <w:rPr>
                      <w:rFonts w:ascii="Calibri" w:hAnsi="Calibri" w:cs="Calibri"/>
                      <w:b/>
                      <w:bCs/>
                      <w:sz w:val="22"/>
                      <w:szCs w:val="22"/>
                    </w:rPr>
                  </w:pPr>
                  <w:r w:rsidRPr="00476524">
                    <w:rPr>
                      <w:rFonts w:ascii="Calibri" w:hAnsi="Calibri" w:cs="Calibri"/>
                      <w:sz w:val="22"/>
                      <w:szCs w:val="22"/>
                    </w:rPr>
                    <w:t>50 %</w:t>
                  </w:r>
                </w:p>
              </w:tc>
            </w:tr>
            <w:tr w:rsidR="00476524" w:rsidRPr="00476524" w14:paraId="43B7EDD5" w14:textId="77777777" w:rsidTr="00476524">
              <w:trPr>
                <w:trHeight w:val="217"/>
                <w:jc w:val="center"/>
              </w:trPr>
              <w:tc>
                <w:tcPr>
                  <w:tcW w:w="3986" w:type="dxa"/>
                  <w:vAlign w:val="center"/>
                </w:tcPr>
                <w:p w14:paraId="12E67D34" w14:textId="77777777" w:rsidR="00476524" w:rsidRPr="00476524" w:rsidRDefault="00476524" w:rsidP="00476524">
                  <w:pPr>
                    <w:overflowPunct w:val="0"/>
                    <w:autoSpaceDE w:val="0"/>
                    <w:autoSpaceDN w:val="0"/>
                    <w:adjustRightInd w:val="0"/>
                    <w:ind w:left="146"/>
                    <w:textAlignment w:val="baseline"/>
                    <w:rPr>
                      <w:rFonts w:ascii="Calibri" w:hAnsi="Calibri" w:cs="Calibri"/>
                      <w:b/>
                      <w:bCs/>
                      <w:sz w:val="22"/>
                      <w:szCs w:val="22"/>
                    </w:rPr>
                  </w:pPr>
                  <w:r w:rsidRPr="00476524">
                    <w:rPr>
                      <w:rFonts w:ascii="Calibri" w:hAnsi="Calibri" w:cs="Calibri"/>
                      <w:b/>
                      <w:bCs/>
                      <w:sz w:val="22"/>
                      <w:szCs w:val="22"/>
                    </w:rPr>
                    <w:t>Holding Foncière de l’Immobilier</w:t>
                  </w:r>
                  <w:r w:rsidRPr="00476524">
                    <w:rPr>
                      <w:rFonts w:ascii="Calibri" w:hAnsi="Calibri" w:cs="Calibri"/>
                      <w:sz w:val="22"/>
                      <w:szCs w:val="22"/>
                    </w:rPr>
                    <w:t xml:space="preserve"> (RCS Paris 850 278 888, représentée par la société Sindy Management, elle-même représentée par Madame Sindy Lévy)</w:t>
                  </w:r>
                </w:p>
              </w:tc>
              <w:tc>
                <w:tcPr>
                  <w:tcW w:w="2156" w:type="dxa"/>
                  <w:vAlign w:val="center"/>
                </w:tcPr>
                <w:p w14:paraId="2F5DFCCC" w14:textId="77777777" w:rsidR="00476524" w:rsidRPr="00476524" w:rsidRDefault="00476524" w:rsidP="00476524">
                  <w:pPr>
                    <w:overflowPunct w:val="0"/>
                    <w:autoSpaceDE w:val="0"/>
                    <w:autoSpaceDN w:val="0"/>
                    <w:adjustRightInd w:val="0"/>
                    <w:ind w:left="3"/>
                    <w:jc w:val="center"/>
                    <w:textAlignment w:val="baseline"/>
                    <w:rPr>
                      <w:rFonts w:ascii="Calibri" w:hAnsi="Calibri" w:cs="Calibri"/>
                      <w:b/>
                      <w:bCs/>
                      <w:sz w:val="22"/>
                      <w:szCs w:val="22"/>
                    </w:rPr>
                  </w:pPr>
                  <w:r w:rsidRPr="00476524">
                    <w:rPr>
                      <w:rFonts w:ascii="Calibri" w:hAnsi="Calibri" w:cs="Calibri"/>
                      <w:sz w:val="22"/>
                      <w:szCs w:val="22"/>
                    </w:rPr>
                    <w:t>50%</w:t>
                  </w:r>
                </w:p>
              </w:tc>
            </w:tr>
            <w:tr w:rsidR="00476524" w:rsidRPr="00476524" w14:paraId="66859FF9" w14:textId="77777777" w:rsidTr="00476524">
              <w:trPr>
                <w:trHeight w:val="217"/>
                <w:jc w:val="center"/>
              </w:trPr>
              <w:tc>
                <w:tcPr>
                  <w:tcW w:w="3986" w:type="dxa"/>
                  <w:vAlign w:val="center"/>
                </w:tcPr>
                <w:p w14:paraId="022BE86A" w14:textId="77777777" w:rsidR="00476524" w:rsidRPr="00476524" w:rsidRDefault="00476524" w:rsidP="00476524">
                  <w:pPr>
                    <w:overflowPunct w:val="0"/>
                    <w:autoSpaceDE w:val="0"/>
                    <w:autoSpaceDN w:val="0"/>
                    <w:adjustRightInd w:val="0"/>
                    <w:ind w:left="146"/>
                    <w:textAlignment w:val="baseline"/>
                    <w:rPr>
                      <w:rFonts w:ascii="Calibri" w:hAnsi="Calibri" w:cs="Calibri"/>
                      <w:b/>
                      <w:bCs/>
                      <w:sz w:val="22"/>
                      <w:szCs w:val="22"/>
                    </w:rPr>
                  </w:pPr>
                  <w:r w:rsidRPr="00476524">
                    <w:rPr>
                      <w:rFonts w:ascii="Calibri" w:hAnsi="Calibri" w:cs="Calibri"/>
                      <w:b/>
                      <w:bCs/>
                      <w:sz w:val="22"/>
                      <w:szCs w:val="22"/>
                    </w:rPr>
                    <w:t>Total</w:t>
                  </w:r>
                </w:p>
              </w:tc>
              <w:tc>
                <w:tcPr>
                  <w:tcW w:w="2156" w:type="dxa"/>
                  <w:vAlign w:val="center"/>
                </w:tcPr>
                <w:p w14:paraId="697FCA6D" w14:textId="77777777" w:rsidR="00476524" w:rsidRPr="00476524" w:rsidRDefault="00476524" w:rsidP="00476524">
                  <w:pPr>
                    <w:overflowPunct w:val="0"/>
                    <w:autoSpaceDE w:val="0"/>
                    <w:autoSpaceDN w:val="0"/>
                    <w:adjustRightInd w:val="0"/>
                    <w:ind w:left="3"/>
                    <w:jc w:val="center"/>
                    <w:textAlignment w:val="baseline"/>
                    <w:rPr>
                      <w:rFonts w:ascii="Calibri" w:hAnsi="Calibri" w:cs="Calibri"/>
                      <w:b/>
                      <w:bCs/>
                      <w:sz w:val="22"/>
                      <w:szCs w:val="22"/>
                    </w:rPr>
                  </w:pPr>
                  <w:r w:rsidRPr="00476524">
                    <w:rPr>
                      <w:rFonts w:ascii="Calibri" w:hAnsi="Calibri" w:cs="Calibri"/>
                      <w:b/>
                      <w:bCs/>
                      <w:sz w:val="22"/>
                      <w:szCs w:val="22"/>
                    </w:rPr>
                    <w:t>100%</w:t>
                  </w:r>
                </w:p>
              </w:tc>
            </w:tr>
          </w:tbl>
          <w:p w14:paraId="2F570546" w14:textId="77777777" w:rsidR="00476524" w:rsidRPr="00476524" w:rsidRDefault="00476524" w:rsidP="00476524">
            <w:pPr>
              <w:ind w:right="285"/>
              <w:rPr>
                <w:rFonts w:ascii="Calibri" w:eastAsia="Calibri" w:hAnsi="Calibri" w:cs="Calibri"/>
                <w:sz w:val="22"/>
                <w:szCs w:val="22"/>
                <w:lang w:eastAsia="en-US" w:bidi="fr-FR"/>
              </w:rPr>
            </w:pPr>
          </w:p>
        </w:tc>
      </w:tr>
      <w:tr w:rsidR="00476524" w:rsidRPr="00476524" w14:paraId="1E8D060B" w14:textId="77777777" w:rsidTr="001B17AA">
        <w:trPr>
          <w:trHeight w:val="564"/>
        </w:trPr>
        <w:tc>
          <w:tcPr>
            <w:tcW w:w="2420" w:type="dxa"/>
            <w:vAlign w:val="center"/>
          </w:tcPr>
          <w:p w14:paraId="0DFE5690"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Activité – Objet social</w:t>
            </w:r>
          </w:p>
        </w:tc>
        <w:tc>
          <w:tcPr>
            <w:tcW w:w="7655" w:type="dxa"/>
            <w:vAlign w:val="center"/>
          </w:tcPr>
          <w:p w14:paraId="714B7EF8" w14:textId="77777777" w:rsidR="00476524" w:rsidRPr="00476524" w:rsidRDefault="00476524" w:rsidP="00476524">
            <w:pPr>
              <w:widowControl w:val="0"/>
              <w:ind w:left="105" w:firstLine="39"/>
              <w:rPr>
                <w:rFonts w:ascii="Calibri" w:hAnsi="Calibri" w:cs="Calibri"/>
                <w:sz w:val="22"/>
                <w:szCs w:val="22"/>
              </w:rPr>
            </w:pPr>
            <w:r w:rsidRPr="00476524">
              <w:rPr>
                <w:rFonts w:ascii="Calibri" w:hAnsi="Calibri" w:cs="Calibri"/>
                <w:sz w:val="22"/>
                <w:szCs w:val="22"/>
              </w:rPr>
              <w:t xml:space="preserve">Selon l’article 2 des statuts : </w:t>
            </w:r>
          </w:p>
          <w:p w14:paraId="7852D3D2" w14:textId="77777777" w:rsidR="00476524" w:rsidRPr="00476524" w:rsidRDefault="00476524" w:rsidP="00476524">
            <w:pPr>
              <w:widowControl w:val="0"/>
              <w:numPr>
                <w:ilvl w:val="0"/>
                <w:numId w:val="1"/>
              </w:numPr>
              <w:overflowPunct w:val="0"/>
              <w:autoSpaceDE w:val="0"/>
              <w:autoSpaceDN w:val="0"/>
              <w:adjustRightInd w:val="0"/>
              <w:spacing w:before="120"/>
              <w:ind w:left="714" w:hanging="357"/>
              <w:jc w:val="both"/>
              <w:textAlignment w:val="baseline"/>
              <w:rPr>
                <w:rFonts w:ascii="Calibri" w:hAnsi="Calibri" w:cs="Calibri"/>
                <w:sz w:val="22"/>
                <w:szCs w:val="22"/>
              </w:rPr>
            </w:pPr>
            <w:r w:rsidRPr="00476524">
              <w:rPr>
                <w:rFonts w:ascii="Calibri" w:hAnsi="Calibri" w:cs="Calibri"/>
                <w:sz w:val="22"/>
                <w:szCs w:val="22"/>
              </w:rPr>
              <w:t>« </w:t>
            </w:r>
            <w:r w:rsidRPr="00476524">
              <w:rPr>
                <w:rFonts w:ascii="Calibri" w:hAnsi="Calibri" w:cs="Calibri"/>
                <w:i/>
                <w:iCs/>
                <w:sz w:val="22"/>
                <w:szCs w:val="22"/>
              </w:rPr>
              <w:t>Acquisition d’immeuble et administration, exploitation par bail et location, ou autrement, dudit immeuble ou de tous autres immeubles bâtis dont la Société pourrait devenir propriétaire</w:t>
            </w:r>
            <w:r w:rsidRPr="00476524">
              <w:rPr>
                <w:rFonts w:ascii="Calibri" w:hAnsi="Calibri" w:cs="Calibri"/>
                <w:sz w:val="22"/>
                <w:szCs w:val="22"/>
              </w:rPr>
              <w:t> </w:t>
            </w:r>
          </w:p>
          <w:p w14:paraId="1C951681" w14:textId="77777777" w:rsidR="00476524" w:rsidRPr="00476524" w:rsidRDefault="00476524" w:rsidP="00476524">
            <w:pPr>
              <w:widowControl w:val="0"/>
              <w:numPr>
                <w:ilvl w:val="0"/>
                <w:numId w:val="1"/>
              </w:numPr>
              <w:overflowPunct w:val="0"/>
              <w:autoSpaceDE w:val="0"/>
              <w:autoSpaceDN w:val="0"/>
              <w:adjustRightInd w:val="0"/>
              <w:spacing w:before="120"/>
              <w:ind w:left="714" w:hanging="357"/>
              <w:jc w:val="both"/>
              <w:textAlignment w:val="baseline"/>
              <w:rPr>
                <w:rFonts w:ascii="Calibri" w:hAnsi="Calibri" w:cs="Calibri"/>
                <w:sz w:val="22"/>
                <w:szCs w:val="22"/>
              </w:rPr>
            </w:pPr>
            <w:r w:rsidRPr="00476524">
              <w:rPr>
                <w:rFonts w:ascii="Calibri" w:hAnsi="Calibri" w:cs="Calibri"/>
                <w:i/>
                <w:iCs/>
                <w:sz w:val="22"/>
                <w:szCs w:val="22"/>
              </w:rPr>
              <w:t xml:space="preserve">Eventuellement et exceptionnellement l’aliénation du ou des immeubles devenus inutiles à la Société, au moyen de vente, échange, ou apport en société. </w:t>
            </w:r>
            <w:r w:rsidRPr="00476524">
              <w:rPr>
                <w:rFonts w:ascii="Calibri" w:hAnsi="Calibri" w:cs="Calibri"/>
                <w:sz w:val="22"/>
                <w:szCs w:val="22"/>
              </w:rPr>
              <w:t>»</w:t>
            </w:r>
          </w:p>
        </w:tc>
      </w:tr>
      <w:tr w:rsidR="00476524" w:rsidRPr="00476524" w14:paraId="5C66127D" w14:textId="77777777" w:rsidTr="001B17AA">
        <w:trPr>
          <w:trHeight w:val="404"/>
        </w:trPr>
        <w:tc>
          <w:tcPr>
            <w:tcW w:w="2420" w:type="dxa"/>
            <w:vAlign w:val="center"/>
          </w:tcPr>
          <w:p w14:paraId="232D89CC"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Activité réelle</w:t>
            </w:r>
          </w:p>
        </w:tc>
        <w:tc>
          <w:tcPr>
            <w:tcW w:w="7655" w:type="dxa"/>
            <w:vAlign w:val="center"/>
          </w:tcPr>
          <w:p w14:paraId="250C1A9F" w14:textId="77777777" w:rsidR="00476524" w:rsidRPr="00476524" w:rsidRDefault="00476524" w:rsidP="00476524">
            <w:pPr>
              <w:widowControl w:val="0"/>
              <w:ind w:left="105" w:firstLine="39"/>
              <w:rPr>
                <w:rFonts w:ascii="Calibri" w:hAnsi="Calibri" w:cs="Calibri"/>
                <w:sz w:val="22"/>
                <w:szCs w:val="22"/>
              </w:rPr>
            </w:pPr>
            <w:r w:rsidRPr="00476524">
              <w:rPr>
                <w:rFonts w:ascii="Calibri" w:hAnsi="Calibri" w:cs="Calibri"/>
                <w:sz w:val="22"/>
                <w:szCs w:val="22"/>
              </w:rPr>
              <w:t>Location commerciale</w:t>
            </w:r>
          </w:p>
        </w:tc>
      </w:tr>
      <w:tr w:rsidR="00476524" w:rsidRPr="00476524" w14:paraId="7DE371E4" w14:textId="77777777" w:rsidTr="001B17AA">
        <w:trPr>
          <w:trHeight w:val="540"/>
        </w:trPr>
        <w:tc>
          <w:tcPr>
            <w:tcW w:w="2420" w:type="dxa"/>
            <w:vAlign w:val="center"/>
          </w:tcPr>
          <w:p w14:paraId="52E01F40"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Gérante</w:t>
            </w:r>
          </w:p>
        </w:tc>
        <w:tc>
          <w:tcPr>
            <w:tcW w:w="7655" w:type="dxa"/>
            <w:vAlign w:val="center"/>
          </w:tcPr>
          <w:p w14:paraId="7B1BABEB" w14:textId="77777777" w:rsidR="00476524" w:rsidRPr="00476524" w:rsidRDefault="00476524" w:rsidP="00476524">
            <w:pPr>
              <w:widowControl w:val="0"/>
              <w:ind w:left="105" w:firstLine="39"/>
              <w:rPr>
                <w:rFonts w:ascii="Calibri" w:hAnsi="Calibri" w:cs="Calibri"/>
                <w:b/>
                <w:bCs/>
                <w:sz w:val="22"/>
                <w:szCs w:val="22"/>
              </w:rPr>
            </w:pPr>
            <w:r w:rsidRPr="00476524">
              <w:rPr>
                <w:rFonts w:ascii="Calibri" w:hAnsi="Calibri" w:cs="Calibri"/>
                <w:b/>
                <w:bCs/>
                <w:sz w:val="22"/>
                <w:szCs w:val="22"/>
              </w:rPr>
              <w:t>Madame Sindy Lévy</w:t>
            </w:r>
          </w:p>
          <w:p w14:paraId="6F9F561F" w14:textId="77777777" w:rsidR="00476524" w:rsidRPr="00476524" w:rsidRDefault="00476524" w:rsidP="00476524">
            <w:pPr>
              <w:widowControl w:val="0"/>
              <w:ind w:left="105" w:firstLine="39"/>
              <w:rPr>
                <w:rFonts w:ascii="Calibri" w:hAnsi="Calibri" w:cs="Calibri"/>
                <w:sz w:val="22"/>
                <w:szCs w:val="22"/>
              </w:rPr>
            </w:pPr>
            <w:r w:rsidRPr="00476524">
              <w:rPr>
                <w:rFonts w:ascii="Calibri" w:hAnsi="Calibri" w:cs="Calibri"/>
                <w:sz w:val="22"/>
                <w:szCs w:val="22"/>
              </w:rPr>
              <w:t>Née le 10 février 1983</w:t>
            </w:r>
          </w:p>
          <w:p w14:paraId="4EB7D7ED" w14:textId="77777777" w:rsidR="00476524" w:rsidRPr="00476524" w:rsidRDefault="00476524" w:rsidP="00476524">
            <w:pPr>
              <w:widowControl w:val="0"/>
              <w:ind w:left="105" w:firstLine="39"/>
              <w:rPr>
                <w:rFonts w:ascii="Calibri" w:hAnsi="Calibri" w:cs="Calibri"/>
                <w:sz w:val="22"/>
                <w:szCs w:val="22"/>
              </w:rPr>
            </w:pPr>
            <w:r w:rsidRPr="00476524">
              <w:rPr>
                <w:rFonts w:ascii="Calibri" w:hAnsi="Calibri" w:cs="Calibri"/>
                <w:sz w:val="22"/>
                <w:szCs w:val="22"/>
              </w:rPr>
              <w:t>Demeurant 17 Chaussée de la Muette – 75016 Paris</w:t>
            </w:r>
          </w:p>
        </w:tc>
      </w:tr>
      <w:tr w:rsidR="00476524" w:rsidRPr="00476524" w14:paraId="39E4A53A" w14:textId="77777777" w:rsidTr="001B17AA">
        <w:trPr>
          <w:trHeight w:val="424"/>
        </w:trPr>
        <w:tc>
          <w:tcPr>
            <w:tcW w:w="2420" w:type="dxa"/>
            <w:vAlign w:val="center"/>
          </w:tcPr>
          <w:p w14:paraId="19952D05"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Exercice</w:t>
            </w:r>
          </w:p>
        </w:tc>
        <w:tc>
          <w:tcPr>
            <w:tcW w:w="7655" w:type="dxa"/>
            <w:vAlign w:val="center"/>
          </w:tcPr>
          <w:p w14:paraId="0AECCF98"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eastAsia="Calibri" w:hAnsi="Calibri" w:cs="Calibri"/>
                <w:sz w:val="22"/>
                <w:szCs w:val="22"/>
                <w:lang w:eastAsia="en-US" w:bidi="fr-FR"/>
              </w:rPr>
              <w:t>Clôture au 31 décembre</w:t>
            </w:r>
          </w:p>
        </w:tc>
      </w:tr>
      <w:tr w:rsidR="00476524" w:rsidRPr="00476524" w14:paraId="2C5E492A" w14:textId="77777777" w:rsidTr="001B17AA">
        <w:trPr>
          <w:trHeight w:val="584"/>
        </w:trPr>
        <w:tc>
          <w:tcPr>
            <w:tcW w:w="2420" w:type="dxa"/>
            <w:vAlign w:val="center"/>
          </w:tcPr>
          <w:p w14:paraId="13A385F4"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Nombre de salariés à l’ouverture / à date</w:t>
            </w:r>
          </w:p>
        </w:tc>
        <w:tc>
          <w:tcPr>
            <w:tcW w:w="7655" w:type="dxa"/>
            <w:vAlign w:val="center"/>
          </w:tcPr>
          <w:p w14:paraId="035699FE"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eastAsia="Calibri" w:hAnsi="Calibri" w:cs="Calibri"/>
                <w:sz w:val="22"/>
                <w:szCs w:val="22"/>
                <w:lang w:eastAsia="en-US" w:bidi="fr-FR"/>
              </w:rPr>
              <w:t>Aucun salarié</w:t>
            </w:r>
          </w:p>
        </w:tc>
      </w:tr>
      <w:tr w:rsidR="00476524" w:rsidRPr="00476524" w14:paraId="794AC236" w14:textId="77777777" w:rsidTr="001B17AA">
        <w:trPr>
          <w:trHeight w:val="551"/>
        </w:trPr>
        <w:tc>
          <w:tcPr>
            <w:tcW w:w="2420" w:type="dxa"/>
            <w:vAlign w:val="center"/>
          </w:tcPr>
          <w:p w14:paraId="3829AA53"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Expert-comptable</w:t>
            </w:r>
          </w:p>
        </w:tc>
        <w:tc>
          <w:tcPr>
            <w:tcW w:w="7655" w:type="dxa"/>
            <w:vAlign w:val="center"/>
          </w:tcPr>
          <w:p w14:paraId="3177F25E" w14:textId="77777777" w:rsidR="00476524" w:rsidRPr="00476524" w:rsidRDefault="00476524" w:rsidP="00476524">
            <w:pPr>
              <w:widowControl w:val="0"/>
              <w:ind w:firstLine="166"/>
              <w:rPr>
                <w:rFonts w:ascii="Calibri" w:eastAsia="Calibri" w:hAnsi="Calibri" w:cs="Calibri"/>
                <w:b/>
                <w:bCs/>
                <w:sz w:val="22"/>
                <w:szCs w:val="22"/>
                <w:lang w:eastAsia="en-US" w:bidi="fr-FR"/>
              </w:rPr>
            </w:pPr>
            <w:r w:rsidRPr="00476524">
              <w:rPr>
                <w:rFonts w:ascii="Calibri" w:eastAsia="Calibri" w:hAnsi="Calibri" w:cs="Calibri"/>
                <w:b/>
                <w:bCs/>
                <w:sz w:val="22"/>
                <w:szCs w:val="22"/>
                <w:lang w:eastAsia="en-US" w:bidi="fr-FR"/>
              </w:rPr>
              <w:t>FIDUCIAIRE RIVE GAUCHE</w:t>
            </w:r>
          </w:p>
          <w:p w14:paraId="6199CD2C"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eastAsia="Calibri" w:hAnsi="Calibri" w:cs="Calibri"/>
                <w:sz w:val="22"/>
                <w:szCs w:val="22"/>
                <w:lang w:eastAsia="en-US" w:bidi="fr-FR"/>
              </w:rPr>
              <w:t>217-219 rue du Faubourg Saint-Honoré – 75008 Paris</w:t>
            </w:r>
          </w:p>
          <w:p w14:paraId="646106B2" w14:textId="77777777" w:rsidR="00476524" w:rsidRPr="00476524" w:rsidRDefault="00476524" w:rsidP="00476524">
            <w:pPr>
              <w:widowControl w:val="0"/>
              <w:ind w:firstLine="166"/>
              <w:rPr>
                <w:rFonts w:ascii="Calibri" w:eastAsia="Calibri" w:hAnsi="Calibri" w:cs="Calibri"/>
                <w:sz w:val="22"/>
                <w:szCs w:val="22"/>
                <w:lang w:eastAsia="en-US" w:bidi="fr-FR"/>
              </w:rPr>
            </w:pPr>
            <w:r w:rsidRPr="00476524">
              <w:rPr>
                <w:rFonts w:ascii="Calibri" w:eastAsia="Calibri" w:hAnsi="Calibri" w:cs="Calibri"/>
                <w:sz w:val="22"/>
                <w:szCs w:val="22"/>
                <w:lang w:eastAsia="en-US" w:bidi="fr-FR"/>
              </w:rPr>
              <w:t>Monsieur Michel Sudit</w:t>
            </w:r>
          </w:p>
        </w:tc>
      </w:tr>
      <w:tr w:rsidR="00476524" w:rsidRPr="00476524" w14:paraId="3927F083" w14:textId="77777777" w:rsidTr="001B17AA">
        <w:trPr>
          <w:trHeight w:val="559"/>
        </w:trPr>
        <w:tc>
          <w:tcPr>
            <w:tcW w:w="2420" w:type="dxa"/>
            <w:tcBorders>
              <w:top w:val="single" w:sz="4" w:space="0" w:color="747678"/>
              <w:left w:val="single" w:sz="4" w:space="0" w:color="747678"/>
              <w:bottom w:val="single" w:sz="4" w:space="0" w:color="747678"/>
              <w:right w:val="single" w:sz="4" w:space="0" w:color="747678"/>
            </w:tcBorders>
            <w:vAlign w:val="center"/>
          </w:tcPr>
          <w:p w14:paraId="440992DE" w14:textId="77777777" w:rsidR="00476524" w:rsidRPr="00476524" w:rsidRDefault="00476524" w:rsidP="00476524">
            <w:pPr>
              <w:widowControl w:val="0"/>
              <w:jc w:val="center"/>
              <w:rPr>
                <w:rFonts w:ascii="Calibri" w:eastAsia="Calibri" w:hAnsi="Calibri" w:cs="Calibri"/>
                <w:b/>
                <w:sz w:val="22"/>
                <w:szCs w:val="22"/>
                <w:lang w:eastAsia="en-US" w:bidi="fr-FR"/>
              </w:rPr>
            </w:pPr>
            <w:r w:rsidRPr="00476524">
              <w:rPr>
                <w:rFonts w:ascii="Calibri" w:eastAsia="Calibri" w:hAnsi="Calibri" w:cs="Calibri"/>
                <w:b/>
                <w:sz w:val="22"/>
                <w:szCs w:val="22"/>
                <w:lang w:eastAsia="en-US" w:bidi="fr-FR"/>
              </w:rPr>
              <w:t>Bénéficiaire effectif</w:t>
            </w:r>
          </w:p>
        </w:tc>
        <w:tc>
          <w:tcPr>
            <w:tcW w:w="7655" w:type="dxa"/>
            <w:tcBorders>
              <w:top w:val="single" w:sz="4" w:space="0" w:color="747678"/>
              <w:left w:val="single" w:sz="4" w:space="0" w:color="747678"/>
              <w:bottom w:val="single" w:sz="4" w:space="0" w:color="747678"/>
              <w:right w:val="single" w:sz="4" w:space="0" w:color="747678"/>
            </w:tcBorders>
            <w:vAlign w:val="center"/>
          </w:tcPr>
          <w:p w14:paraId="48D1F16E" w14:textId="1103793D" w:rsidR="00476524" w:rsidRPr="00D14D5C" w:rsidRDefault="00476524" w:rsidP="00D14D5C">
            <w:pPr>
              <w:widowControl w:val="0"/>
              <w:ind w:firstLine="142"/>
              <w:rPr>
                <w:rFonts w:ascii="Calibri" w:eastAsia="Calibri" w:hAnsi="Calibri" w:cs="Calibri"/>
                <w:b/>
                <w:bCs/>
                <w:sz w:val="22"/>
                <w:szCs w:val="22"/>
                <w:lang w:eastAsia="en-US" w:bidi="fr-FR"/>
              </w:rPr>
            </w:pPr>
            <w:r w:rsidRPr="00476524">
              <w:rPr>
                <w:rFonts w:ascii="Calibri" w:eastAsia="Calibri" w:hAnsi="Calibri" w:cs="Calibri"/>
                <w:b/>
                <w:bCs/>
                <w:sz w:val="22"/>
                <w:szCs w:val="22"/>
                <w:lang w:eastAsia="en-US" w:bidi="fr-FR"/>
              </w:rPr>
              <w:t>Monsieur Kevin Danh</w:t>
            </w:r>
          </w:p>
        </w:tc>
      </w:tr>
    </w:tbl>
    <w:p w14:paraId="3EA9E182" w14:textId="7EF0119C" w:rsidR="00065E05" w:rsidRDefault="00065E05">
      <w:pPr>
        <w:spacing w:after="160" w:line="259" w:lineRule="auto"/>
        <w:rPr>
          <w:rFonts w:ascii="Calibri" w:hAnsi="Calibri" w:cs="Calibri"/>
          <w:b/>
          <w:sz w:val="22"/>
          <w:szCs w:val="22"/>
          <w:u w:val="single"/>
        </w:rPr>
      </w:pPr>
    </w:p>
    <w:p w14:paraId="07B233F2" w14:textId="77777777" w:rsidR="00B02AAB" w:rsidRDefault="00B02AAB">
      <w:pPr>
        <w:spacing w:after="160" w:line="259" w:lineRule="auto"/>
        <w:rPr>
          <w:rFonts w:ascii="Calibri" w:hAnsi="Calibri" w:cs="Calibri"/>
          <w:b/>
          <w:sz w:val="22"/>
          <w:szCs w:val="22"/>
          <w:u w:val="single"/>
        </w:rPr>
      </w:pPr>
      <w:r>
        <w:rPr>
          <w:rFonts w:ascii="Calibri" w:hAnsi="Calibri" w:cs="Calibri"/>
          <w:b/>
          <w:sz w:val="22"/>
          <w:szCs w:val="22"/>
          <w:u w:val="single"/>
        </w:rPr>
        <w:br w:type="page"/>
      </w:r>
    </w:p>
    <w:p w14:paraId="4A82E4F3" w14:textId="142C6F30" w:rsidR="00214D6C" w:rsidRDefault="004A2AD3" w:rsidP="00B132A0">
      <w:pPr>
        <w:pStyle w:val="Paragraphedeliste"/>
        <w:numPr>
          <w:ilvl w:val="1"/>
          <w:numId w:val="9"/>
        </w:numPr>
        <w:overflowPunct w:val="0"/>
        <w:autoSpaceDE w:val="0"/>
        <w:autoSpaceDN w:val="0"/>
        <w:adjustRightInd w:val="0"/>
        <w:jc w:val="both"/>
        <w:textAlignment w:val="baseline"/>
        <w:outlineLvl w:val="1"/>
        <w:rPr>
          <w:rFonts w:ascii="Calibri" w:hAnsi="Calibri" w:cs="Calibri"/>
          <w:b/>
          <w:sz w:val="22"/>
          <w:szCs w:val="22"/>
          <w:u w:val="single"/>
        </w:rPr>
      </w:pPr>
      <w:bookmarkStart w:id="13" w:name="_Toc222908287"/>
      <w:r>
        <w:rPr>
          <w:rFonts w:ascii="Calibri" w:hAnsi="Calibri" w:cs="Calibri"/>
          <w:b/>
          <w:sz w:val="22"/>
          <w:szCs w:val="22"/>
          <w:u w:val="single"/>
        </w:rPr>
        <w:lastRenderedPageBreak/>
        <w:t>Présentation de l’a</w:t>
      </w:r>
      <w:r w:rsidR="00384A65" w:rsidRPr="00384A65">
        <w:rPr>
          <w:rFonts w:ascii="Calibri" w:hAnsi="Calibri" w:cs="Calibri"/>
          <w:b/>
          <w:sz w:val="22"/>
          <w:szCs w:val="22"/>
          <w:u w:val="single"/>
        </w:rPr>
        <w:t>ctiv</w:t>
      </w:r>
      <w:bookmarkEnd w:id="10"/>
      <w:r>
        <w:rPr>
          <w:rFonts w:ascii="Calibri" w:hAnsi="Calibri" w:cs="Calibri"/>
          <w:b/>
          <w:sz w:val="22"/>
          <w:szCs w:val="22"/>
          <w:u w:val="single"/>
        </w:rPr>
        <w:t>ité</w:t>
      </w:r>
      <w:bookmarkEnd w:id="11"/>
      <w:r>
        <w:rPr>
          <w:rFonts w:ascii="Calibri" w:hAnsi="Calibri" w:cs="Calibri"/>
          <w:b/>
          <w:sz w:val="22"/>
          <w:szCs w:val="22"/>
          <w:u w:val="single"/>
        </w:rPr>
        <w:t xml:space="preserve"> </w:t>
      </w:r>
      <w:bookmarkStart w:id="14" w:name="_Toc200031817"/>
      <w:bookmarkStart w:id="15" w:name="_Toc200125597"/>
      <w:bookmarkStart w:id="16" w:name="_Toc210645999"/>
      <w:r w:rsidR="004F36D5">
        <w:rPr>
          <w:rFonts w:ascii="Calibri" w:hAnsi="Calibri" w:cs="Calibri"/>
          <w:b/>
          <w:sz w:val="22"/>
          <w:szCs w:val="22"/>
          <w:u w:val="single"/>
        </w:rPr>
        <w:t>du Groupe et de la Société</w:t>
      </w:r>
      <w:bookmarkEnd w:id="13"/>
    </w:p>
    <w:p w14:paraId="30A0D9FE" w14:textId="77777777" w:rsidR="00214D6C" w:rsidRDefault="00214D6C" w:rsidP="00C11DED">
      <w:pPr>
        <w:pStyle w:val="2MAJ-adresse"/>
      </w:pPr>
    </w:p>
    <w:p w14:paraId="0281137B" w14:textId="38E87FFD" w:rsidR="004A2AD3" w:rsidRPr="00214D6C" w:rsidRDefault="004A2AD3" w:rsidP="00B132A0">
      <w:pPr>
        <w:pStyle w:val="Paragraphedeliste"/>
        <w:numPr>
          <w:ilvl w:val="2"/>
          <w:numId w:val="9"/>
        </w:numPr>
        <w:overflowPunct w:val="0"/>
        <w:autoSpaceDE w:val="0"/>
        <w:autoSpaceDN w:val="0"/>
        <w:adjustRightInd w:val="0"/>
        <w:jc w:val="both"/>
        <w:textAlignment w:val="baseline"/>
        <w:outlineLvl w:val="1"/>
        <w:rPr>
          <w:rFonts w:ascii="Calibri" w:hAnsi="Calibri" w:cs="Calibri"/>
          <w:b/>
          <w:sz w:val="22"/>
          <w:szCs w:val="22"/>
          <w:u w:val="single"/>
        </w:rPr>
      </w:pPr>
      <w:bookmarkStart w:id="17" w:name="_Toc222908288"/>
      <w:r w:rsidRPr="00214D6C">
        <w:rPr>
          <w:rFonts w:ascii="Calibri" w:hAnsi="Calibri" w:cs="Calibri"/>
          <w:b/>
          <w:bCs/>
          <w:iCs/>
          <w:sz w:val="22"/>
          <w:szCs w:val="22"/>
          <w:u w:val="single"/>
        </w:rPr>
        <w:t>Présentation de l’activité du Groupe</w:t>
      </w:r>
      <w:bookmarkEnd w:id="14"/>
      <w:bookmarkEnd w:id="15"/>
      <w:bookmarkEnd w:id="16"/>
      <w:bookmarkEnd w:id="17"/>
    </w:p>
    <w:p w14:paraId="27560FE6" w14:textId="77777777" w:rsidR="001E199B" w:rsidRPr="00B22C79" w:rsidRDefault="001E199B" w:rsidP="003459A5">
      <w:pPr>
        <w:pStyle w:val="2MAJ-paragraphe"/>
      </w:pPr>
    </w:p>
    <w:p w14:paraId="5B04917C" w14:textId="2C799B11" w:rsidR="001E199B" w:rsidRPr="001E199B" w:rsidRDefault="001E199B" w:rsidP="003459A5">
      <w:pPr>
        <w:pStyle w:val="2MAJ-paragraphe"/>
      </w:pPr>
      <w:r>
        <w:t xml:space="preserve">Le </w:t>
      </w:r>
      <w:r w:rsidRPr="001E199B">
        <w:t>Groupe HFI</w:t>
      </w:r>
      <w:r>
        <w:t xml:space="preserve"> a été</w:t>
      </w:r>
      <w:r w:rsidRPr="001E199B">
        <w:t xml:space="preserve"> créé en 2019 et développ</w:t>
      </w:r>
      <w:r>
        <w:t>e</w:t>
      </w:r>
      <w:r w:rsidRPr="001E199B">
        <w:t xml:space="preserve"> des programmes immobiliers marchands dans le secteur de l’hôtellerie et parahôtellerie.</w:t>
      </w:r>
    </w:p>
    <w:p w14:paraId="594E2A0C" w14:textId="77777777" w:rsidR="001E199B" w:rsidRPr="00B22C79" w:rsidRDefault="001E199B" w:rsidP="003459A5">
      <w:pPr>
        <w:pStyle w:val="2MAJ-paragraphe"/>
      </w:pPr>
    </w:p>
    <w:p w14:paraId="29ED555C" w14:textId="7C55C14A" w:rsidR="001E199B" w:rsidRPr="001E199B" w:rsidRDefault="001E199B" w:rsidP="003459A5">
      <w:pPr>
        <w:pStyle w:val="2MAJ-paragraphe"/>
      </w:pPr>
      <w:r w:rsidRPr="001E199B">
        <w:t>Depuis 2023, le Groupe a diversifié ses investissements par le développement d’une branche d’activité spécialisée en hébergements touristiques via </w:t>
      </w:r>
      <w:r w:rsidR="00B1464B">
        <w:t>notamment, l</w:t>
      </w:r>
      <w:r w:rsidRPr="001E199B">
        <w:t>’acquisition d’appartements à Paris destinés à la prise à bail par des professionnels du secteur de la parahôtellerie ou confiés à des services de conciergerie.</w:t>
      </w:r>
    </w:p>
    <w:p w14:paraId="2CD5160C" w14:textId="77777777" w:rsidR="004A2AD3" w:rsidRPr="00B22C79" w:rsidRDefault="004A2AD3" w:rsidP="003459A5">
      <w:pPr>
        <w:pStyle w:val="2MAJ-paragraphe"/>
      </w:pPr>
    </w:p>
    <w:p w14:paraId="4A3F6B70" w14:textId="77777777" w:rsidR="001B0950" w:rsidRPr="00291A62" w:rsidRDefault="001B0950" w:rsidP="00291A62">
      <w:pPr>
        <w:numPr>
          <w:ilvl w:val="12"/>
          <w:numId w:val="0"/>
        </w:numPr>
        <w:jc w:val="both"/>
        <w:rPr>
          <w:rFonts w:ascii="Calibri" w:hAnsi="Calibri" w:cs="Calibri"/>
          <w:sz w:val="22"/>
          <w:szCs w:val="20"/>
        </w:rPr>
      </w:pPr>
      <w:bookmarkStart w:id="18" w:name="_Toc210646000"/>
      <w:r w:rsidRPr="00291A62">
        <w:rPr>
          <w:rFonts w:ascii="Calibri" w:hAnsi="Calibri" w:cs="Calibri"/>
          <w:sz w:val="22"/>
          <w:szCs w:val="20"/>
        </w:rPr>
        <w:t xml:space="preserve">La stratégie commerciale du Groupe repose sur une montée en gamme des actifs immobiliers loués via </w:t>
      </w:r>
      <w:proofErr w:type="spellStart"/>
      <w:r w:rsidRPr="00291A62">
        <w:rPr>
          <w:rFonts w:ascii="Calibri" w:hAnsi="Calibri" w:cs="Calibri"/>
          <w:sz w:val="22"/>
          <w:szCs w:val="20"/>
        </w:rPr>
        <w:t>AirBnB</w:t>
      </w:r>
      <w:proofErr w:type="spellEnd"/>
      <w:r w:rsidRPr="00291A62">
        <w:rPr>
          <w:rFonts w:ascii="Calibri" w:hAnsi="Calibri" w:cs="Calibri"/>
          <w:sz w:val="22"/>
          <w:szCs w:val="20"/>
        </w:rPr>
        <w:t>. Pour ce faire, le Groupe a réalisé d’importants travaux de menuiserie sur-mesure et de climatisation, investis dans de la literie dite « premium », permettant de s’inscrire dans un marché de l’ultra luxe.</w:t>
      </w:r>
      <w:bookmarkEnd w:id="18"/>
    </w:p>
    <w:p w14:paraId="7E09760F" w14:textId="77777777" w:rsidR="001B0950" w:rsidRPr="00291A62" w:rsidRDefault="001B0950" w:rsidP="00291A62">
      <w:pPr>
        <w:numPr>
          <w:ilvl w:val="12"/>
          <w:numId w:val="0"/>
        </w:numPr>
        <w:jc w:val="both"/>
        <w:rPr>
          <w:rFonts w:ascii="Calibri" w:hAnsi="Calibri" w:cs="Calibri"/>
          <w:sz w:val="22"/>
          <w:szCs w:val="20"/>
        </w:rPr>
      </w:pPr>
    </w:p>
    <w:p w14:paraId="2C8716A7" w14:textId="3ED42AEB" w:rsidR="001B0950" w:rsidRPr="00291A62" w:rsidRDefault="001B0950" w:rsidP="00291A62">
      <w:pPr>
        <w:numPr>
          <w:ilvl w:val="12"/>
          <w:numId w:val="0"/>
        </w:numPr>
        <w:jc w:val="both"/>
        <w:rPr>
          <w:rFonts w:ascii="Calibri" w:hAnsi="Calibri" w:cs="Calibri"/>
          <w:sz w:val="22"/>
          <w:szCs w:val="20"/>
        </w:rPr>
      </w:pPr>
      <w:bookmarkStart w:id="19" w:name="_Toc210646018"/>
      <w:r w:rsidRPr="00291A62">
        <w:rPr>
          <w:rFonts w:ascii="Calibri" w:hAnsi="Calibri" w:cs="Calibri"/>
          <w:sz w:val="22"/>
          <w:szCs w:val="20"/>
        </w:rPr>
        <w:t xml:space="preserve">Enfin, le portefeuille d’actifs des 30 sociétés du Groupe, placées en redressement judiciaire, est composé de </w:t>
      </w:r>
      <w:r w:rsidR="00C00021">
        <w:rPr>
          <w:rFonts w:ascii="Calibri" w:hAnsi="Calibri" w:cs="Calibri"/>
          <w:sz w:val="22"/>
          <w:szCs w:val="20"/>
        </w:rPr>
        <w:t>76</w:t>
      </w:r>
      <w:r w:rsidRPr="00291A62">
        <w:rPr>
          <w:rFonts w:ascii="Calibri" w:hAnsi="Calibri" w:cs="Calibri"/>
          <w:sz w:val="22"/>
          <w:szCs w:val="20"/>
        </w:rPr>
        <w:t xml:space="preserve"> actifs immobiliers à Paris, Proche Couronne et Cannes :</w:t>
      </w:r>
      <w:bookmarkEnd w:id="19"/>
    </w:p>
    <w:p w14:paraId="7F3EBAA9" w14:textId="1E04D30D" w:rsidR="00291A62" w:rsidRDefault="00C00021" w:rsidP="00B132A0">
      <w:pPr>
        <w:pStyle w:val="Paragraphedeliste"/>
        <w:numPr>
          <w:ilvl w:val="0"/>
          <w:numId w:val="1"/>
        </w:numPr>
        <w:spacing w:before="120"/>
        <w:ind w:left="714" w:hanging="357"/>
        <w:contextualSpacing w:val="0"/>
        <w:jc w:val="both"/>
        <w:rPr>
          <w:rFonts w:ascii="Calibri" w:hAnsi="Calibri" w:cs="Calibri"/>
          <w:sz w:val="22"/>
          <w:szCs w:val="20"/>
        </w:rPr>
      </w:pPr>
      <w:bookmarkStart w:id="20" w:name="_Toc210646019"/>
      <w:r>
        <w:rPr>
          <w:rFonts w:ascii="Calibri" w:hAnsi="Calibri" w:cs="Calibri"/>
          <w:sz w:val="22"/>
          <w:szCs w:val="20"/>
        </w:rPr>
        <w:t>52</w:t>
      </w:r>
      <w:r w:rsidR="001B0950" w:rsidRPr="00291A62">
        <w:rPr>
          <w:rFonts w:ascii="Calibri" w:hAnsi="Calibri" w:cs="Calibri"/>
          <w:sz w:val="22"/>
          <w:szCs w:val="20"/>
        </w:rPr>
        <w:t xml:space="preserve"> appartements,</w:t>
      </w:r>
      <w:bookmarkStart w:id="21" w:name="_Toc210646020"/>
      <w:bookmarkEnd w:id="20"/>
    </w:p>
    <w:p w14:paraId="6AA2EB01" w14:textId="77777777" w:rsidR="00291A62" w:rsidRDefault="001B0950" w:rsidP="00B132A0">
      <w:pPr>
        <w:pStyle w:val="Paragraphedeliste"/>
        <w:numPr>
          <w:ilvl w:val="0"/>
          <w:numId w:val="1"/>
        </w:numPr>
        <w:spacing w:before="120"/>
        <w:ind w:left="714" w:hanging="357"/>
        <w:contextualSpacing w:val="0"/>
        <w:jc w:val="both"/>
        <w:rPr>
          <w:rFonts w:ascii="Calibri" w:hAnsi="Calibri" w:cs="Calibri"/>
          <w:sz w:val="22"/>
          <w:szCs w:val="20"/>
        </w:rPr>
      </w:pPr>
      <w:r w:rsidRPr="00291A62">
        <w:rPr>
          <w:rFonts w:ascii="Calibri" w:hAnsi="Calibri" w:cs="Calibri"/>
          <w:sz w:val="22"/>
          <w:szCs w:val="20"/>
        </w:rPr>
        <w:t>2 hôtels,</w:t>
      </w:r>
      <w:bookmarkStart w:id="22" w:name="_Toc210646021"/>
      <w:bookmarkEnd w:id="21"/>
    </w:p>
    <w:p w14:paraId="12BC1112" w14:textId="2EE57DCC" w:rsidR="001B0950" w:rsidRPr="00291A62" w:rsidRDefault="001B0950" w:rsidP="00B132A0">
      <w:pPr>
        <w:pStyle w:val="Paragraphedeliste"/>
        <w:numPr>
          <w:ilvl w:val="0"/>
          <w:numId w:val="1"/>
        </w:numPr>
        <w:spacing w:before="120"/>
        <w:ind w:left="714" w:hanging="357"/>
        <w:contextualSpacing w:val="0"/>
        <w:jc w:val="both"/>
        <w:rPr>
          <w:rFonts w:ascii="Calibri" w:hAnsi="Calibri" w:cs="Calibri"/>
          <w:sz w:val="22"/>
          <w:szCs w:val="20"/>
        </w:rPr>
      </w:pPr>
      <w:r w:rsidRPr="00291A62">
        <w:rPr>
          <w:rFonts w:ascii="Calibri" w:hAnsi="Calibri" w:cs="Calibri"/>
          <w:sz w:val="22"/>
          <w:szCs w:val="20"/>
        </w:rPr>
        <w:t>2</w:t>
      </w:r>
      <w:r w:rsidR="00C00021">
        <w:rPr>
          <w:rFonts w:ascii="Calibri" w:hAnsi="Calibri" w:cs="Calibri"/>
          <w:sz w:val="22"/>
          <w:szCs w:val="20"/>
        </w:rPr>
        <w:t>2</w:t>
      </w:r>
      <w:r w:rsidRPr="00291A62">
        <w:rPr>
          <w:rFonts w:ascii="Calibri" w:hAnsi="Calibri" w:cs="Calibri"/>
          <w:sz w:val="22"/>
          <w:szCs w:val="20"/>
        </w:rPr>
        <w:t xml:space="preserve"> locaux commerciaux.</w:t>
      </w:r>
      <w:bookmarkEnd w:id="22"/>
    </w:p>
    <w:p w14:paraId="75AA19CA" w14:textId="77777777" w:rsidR="00070F82" w:rsidRPr="00291A62" w:rsidRDefault="00070F82" w:rsidP="00291A62">
      <w:pPr>
        <w:numPr>
          <w:ilvl w:val="12"/>
          <w:numId w:val="0"/>
        </w:numPr>
        <w:jc w:val="both"/>
        <w:rPr>
          <w:rFonts w:ascii="Calibri" w:hAnsi="Calibri" w:cs="Calibri"/>
          <w:sz w:val="22"/>
          <w:szCs w:val="20"/>
        </w:rPr>
      </w:pPr>
    </w:p>
    <w:p w14:paraId="0BB734B8" w14:textId="515DE323" w:rsidR="004A2AD3" w:rsidRPr="004A2AD3" w:rsidRDefault="004A2AD3" w:rsidP="00B132A0">
      <w:pPr>
        <w:pStyle w:val="Paragraphedeliste"/>
        <w:numPr>
          <w:ilvl w:val="2"/>
          <w:numId w:val="9"/>
        </w:numPr>
        <w:overflowPunct w:val="0"/>
        <w:autoSpaceDE w:val="0"/>
        <w:autoSpaceDN w:val="0"/>
        <w:adjustRightInd w:val="0"/>
        <w:jc w:val="both"/>
        <w:textAlignment w:val="baseline"/>
        <w:outlineLvl w:val="1"/>
        <w:rPr>
          <w:rFonts w:ascii="Calibri" w:hAnsi="Calibri" w:cs="Calibri"/>
          <w:b/>
          <w:bCs/>
          <w:iCs/>
          <w:sz w:val="22"/>
          <w:szCs w:val="22"/>
          <w:u w:val="single"/>
        </w:rPr>
      </w:pPr>
      <w:bookmarkStart w:id="23" w:name="_Toc222908289"/>
      <w:r>
        <w:rPr>
          <w:rFonts w:ascii="Calibri" w:hAnsi="Calibri" w:cs="Calibri"/>
          <w:b/>
          <w:bCs/>
          <w:iCs/>
          <w:sz w:val="22"/>
          <w:szCs w:val="22"/>
          <w:u w:val="single"/>
        </w:rPr>
        <w:t>Présentation de l’a</w:t>
      </w:r>
      <w:r w:rsidRPr="004A2AD3">
        <w:rPr>
          <w:rFonts w:ascii="Calibri" w:hAnsi="Calibri" w:cs="Calibri"/>
          <w:b/>
          <w:bCs/>
          <w:iCs/>
          <w:sz w:val="22"/>
          <w:szCs w:val="22"/>
          <w:u w:val="single"/>
        </w:rPr>
        <w:t xml:space="preserve">ctivité </w:t>
      </w:r>
      <w:r>
        <w:rPr>
          <w:rFonts w:ascii="Calibri" w:hAnsi="Calibri" w:cs="Calibri"/>
          <w:b/>
          <w:bCs/>
          <w:iCs/>
          <w:sz w:val="22"/>
          <w:szCs w:val="22"/>
          <w:u w:val="single"/>
        </w:rPr>
        <w:t xml:space="preserve">de la société </w:t>
      </w:r>
      <w:r w:rsidR="00AE1F43">
        <w:rPr>
          <w:rFonts w:ascii="Calibri" w:hAnsi="Calibri" w:cs="Calibri"/>
          <w:b/>
          <w:bCs/>
          <w:iCs/>
          <w:sz w:val="22"/>
          <w:szCs w:val="22"/>
          <w:u w:val="single"/>
        </w:rPr>
        <w:t>SCI Tolbiac</w:t>
      </w:r>
      <w:bookmarkEnd w:id="23"/>
    </w:p>
    <w:p w14:paraId="4A9C662D" w14:textId="77777777" w:rsidR="0038464E" w:rsidRPr="00F72988" w:rsidRDefault="0038464E" w:rsidP="00F72988">
      <w:pPr>
        <w:numPr>
          <w:ilvl w:val="12"/>
          <w:numId w:val="0"/>
        </w:numPr>
        <w:jc w:val="both"/>
        <w:rPr>
          <w:rFonts w:ascii="Calibri" w:hAnsi="Calibri" w:cs="Calibri"/>
          <w:sz w:val="22"/>
          <w:szCs w:val="22"/>
        </w:rPr>
      </w:pPr>
    </w:p>
    <w:p w14:paraId="2DF9E30C" w14:textId="5FF7D6DE" w:rsidR="00C12E2C" w:rsidRPr="00BE1B37" w:rsidRDefault="00C12E2C" w:rsidP="00C11DED">
      <w:pPr>
        <w:pStyle w:val="2MAJ-adresse"/>
        <w:rPr>
          <w:rFonts w:cs="Calibri"/>
          <w:b w:val="0"/>
          <w:bCs w:val="0"/>
          <w:szCs w:val="20"/>
          <w:lang w:bidi="ar-SA"/>
        </w:rPr>
      </w:pPr>
      <w:r w:rsidRPr="00BE1B37">
        <w:rPr>
          <w:rFonts w:cs="Calibri"/>
          <w:b w:val="0"/>
          <w:bCs w:val="0"/>
          <w:szCs w:val="20"/>
          <w:lang w:bidi="ar-SA"/>
        </w:rPr>
        <w:t xml:space="preserve">La Société a été créée en 2019 et exerce une activité de locations d’actifs immobiliers via </w:t>
      </w:r>
      <w:proofErr w:type="spellStart"/>
      <w:r w:rsidRPr="00BE1B37">
        <w:rPr>
          <w:rFonts w:cs="Calibri"/>
          <w:b w:val="0"/>
          <w:bCs w:val="0"/>
          <w:szCs w:val="20"/>
          <w:lang w:bidi="ar-SA"/>
        </w:rPr>
        <w:t>AirBnB</w:t>
      </w:r>
      <w:proofErr w:type="spellEnd"/>
      <w:r w:rsidRPr="00BE1B37">
        <w:rPr>
          <w:rFonts w:cs="Calibri"/>
          <w:b w:val="0"/>
          <w:bCs w:val="0"/>
          <w:szCs w:val="20"/>
          <w:lang w:bidi="ar-SA"/>
        </w:rPr>
        <w:t>.</w:t>
      </w:r>
    </w:p>
    <w:p w14:paraId="668818B3" w14:textId="77777777" w:rsidR="00C12E2C" w:rsidRPr="00BE1B37" w:rsidRDefault="00C12E2C" w:rsidP="00C11DED">
      <w:pPr>
        <w:pStyle w:val="2MAJ-adresse"/>
        <w:rPr>
          <w:rFonts w:cs="Calibri"/>
          <w:b w:val="0"/>
          <w:bCs w:val="0"/>
          <w:szCs w:val="20"/>
          <w:lang w:bidi="ar-SA"/>
        </w:rPr>
      </w:pPr>
    </w:p>
    <w:p w14:paraId="0E2886F6" w14:textId="77777777" w:rsidR="00C12E2C" w:rsidRPr="00BE1B37" w:rsidRDefault="00C12E2C" w:rsidP="00C11DED">
      <w:pPr>
        <w:pStyle w:val="2MAJ-adresse"/>
        <w:rPr>
          <w:rFonts w:cs="Calibri"/>
          <w:b w:val="0"/>
          <w:bCs w:val="0"/>
          <w:szCs w:val="20"/>
          <w:lang w:bidi="ar-SA"/>
        </w:rPr>
      </w:pPr>
      <w:r w:rsidRPr="00BE1B37">
        <w:rPr>
          <w:rFonts w:cs="Calibri"/>
          <w:b w:val="0"/>
          <w:bCs w:val="0"/>
          <w:szCs w:val="20"/>
          <w:lang w:bidi="ar-SA"/>
        </w:rPr>
        <w:t>A date, elle détient deux actifs immobiliers situés à Paris, dans le 13ème arrondissement, correspondant à deux locaux commerciaux.</w:t>
      </w:r>
    </w:p>
    <w:p w14:paraId="43CE4F7A" w14:textId="77777777" w:rsidR="00C12E2C" w:rsidRPr="00BE1B37" w:rsidRDefault="00C12E2C" w:rsidP="00C11DED">
      <w:pPr>
        <w:pStyle w:val="2MAJ-adresse"/>
        <w:rPr>
          <w:rFonts w:cs="Calibri"/>
          <w:b w:val="0"/>
          <w:bCs w:val="0"/>
          <w:szCs w:val="20"/>
          <w:lang w:bidi="ar-SA"/>
        </w:rPr>
      </w:pPr>
    </w:p>
    <w:p w14:paraId="5CCBD96E" w14:textId="77777777" w:rsidR="00C12E2C" w:rsidRPr="00BE1B37" w:rsidRDefault="00C12E2C" w:rsidP="00C11DED">
      <w:pPr>
        <w:pStyle w:val="2MAJ-adresse"/>
        <w:rPr>
          <w:rFonts w:cs="Calibri"/>
          <w:b w:val="0"/>
          <w:bCs w:val="0"/>
          <w:szCs w:val="20"/>
          <w:lang w:bidi="ar-SA"/>
        </w:rPr>
      </w:pPr>
      <w:r w:rsidRPr="00BE1B37">
        <w:rPr>
          <w:rFonts w:cs="Calibri"/>
          <w:b w:val="0"/>
          <w:bCs w:val="0"/>
          <w:szCs w:val="20"/>
          <w:lang w:bidi="ar-SA"/>
        </w:rPr>
        <w:t xml:space="preserve">Ces acquisitions ont été financées par la souscription d’un emprunt bancaire d’un montant de 200 000€ auprès de la Caisse d’Epargne Bourgogne Franche-Comté. </w:t>
      </w:r>
    </w:p>
    <w:p w14:paraId="4F792730" w14:textId="77777777" w:rsidR="00022E00" w:rsidRPr="00022E00" w:rsidRDefault="00022E00" w:rsidP="00022E00">
      <w:pPr>
        <w:numPr>
          <w:ilvl w:val="12"/>
          <w:numId w:val="0"/>
        </w:numPr>
        <w:jc w:val="both"/>
        <w:rPr>
          <w:rFonts w:ascii="Calibri" w:hAnsi="Calibri" w:cs="Calibri"/>
          <w:sz w:val="22"/>
          <w:szCs w:val="20"/>
        </w:rPr>
      </w:pPr>
    </w:p>
    <w:p w14:paraId="75E135C0" w14:textId="354CBEAF" w:rsidR="00022E00" w:rsidRDefault="00022E00" w:rsidP="002611C7">
      <w:pPr>
        <w:keepNext/>
        <w:numPr>
          <w:ilvl w:val="12"/>
          <w:numId w:val="0"/>
        </w:numPr>
        <w:jc w:val="both"/>
        <w:rPr>
          <w:rFonts w:ascii="Calibri" w:hAnsi="Calibri" w:cs="Calibri"/>
          <w:sz w:val="22"/>
          <w:szCs w:val="20"/>
        </w:rPr>
      </w:pPr>
      <w:bookmarkStart w:id="24" w:name="_Hlk200122475"/>
      <w:r w:rsidRPr="00022E00">
        <w:rPr>
          <w:rFonts w:ascii="Calibri" w:hAnsi="Calibri" w:cs="Calibri"/>
          <w:sz w:val="22"/>
          <w:szCs w:val="20"/>
        </w:rPr>
        <w:t>Les principales caractéristiques de</w:t>
      </w:r>
      <w:r w:rsidR="006F195F">
        <w:rPr>
          <w:rFonts w:ascii="Calibri" w:hAnsi="Calibri" w:cs="Calibri"/>
          <w:sz w:val="22"/>
          <w:szCs w:val="20"/>
        </w:rPr>
        <w:t>s</w:t>
      </w:r>
      <w:r w:rsidRPr="00022E00">
        <w:rPr>
          <w:rFonts w:ascii="Calibri" w:hAnsi="Calibri" w:cs="Calibri"/>
          <w:sz w:val="22"/>
          <w:szCs w:val="20"/>
        </w:rPr>
        <w:t xml:space="preserve"> actif</w:t>
      </w:r>
      <w:r w:rsidR="006F195F">
        <w:rPr>
          <w:rFonts w:ascii="Calibri" w:hAnsi="Calibri" w:cs="Calibri"/>
          <w:sz w:val="22"/>
          <w:szCs w:val="20"/>
        </w:rPr>
        <w:t>s</w:t>
      </w:r>
      <w:r w:rsidRPr="00022E00">
        <w:rPr>
          <w:rFonts w:ascii="Calibri" w:hAnsi="Calibri" w:cs="Calibri"/>
          <w:sz w:val="22"/>
          <w:szCs w:val="20"/>
        </w:rPr>
        <w:t xml:space="preserve"> immobilier</w:t>
      </w:r>
      <w:r w:rsidR="006F195F">
        <w:rPr>
          <w:rFonts w:ascii="Calibri" w:hAnsi="Calibri" w:cs="Calibri"/>
          <w:sz w:val="22"/>
          <w:szCs w:val="20"/>
        </w:rPr>
        <w:t>s</w:t>
      </w:r>
      <w:r w:rsidRPr="00022E00">
        <w:rPr>
          <w:rFonts w:ascii="Calibri" w:hAnsi="Calibri" w:cs="Calibri"/>
          <w:sz w:val="22"/>
          <w:szCs w:val="20"/>
        </w:rPr>
        <w:t xml:space="preserve"> </w:t>
      </w:r>
      <w:r w:rsidR="00070F82">
        <w:rPr>
          <w:rFonts w:ascii="Calibri" w:hAnsi="Calibri" w:cs="Calibri"/>
          <w:sz w:val="22"/>
          <w:szCs w:val="20"/>
        </w:rPr>
        <w:t xml:space="preserve">détenus par </w:t>
      </w:r>
      <w:r w:rsidRPr="00022E00">
        <w:rPr>
          <w:rFonts w:ascii="Calibri" w:hAnsi="Calibri" w:cs="Calibri"/>
          <w:sz w:val="22"/>
          <w:szCs w:val="20"/>
        </w:rPr>
        <w:t>la Société figurent ci-après :</w:t>
      </w:r>
      <w:bookmarkEnd w:id="24"/>
    </w:p>
    <w:p w14:paraId="68D120FA" w14:textId="77777777" w:rsidR="00EE3C86" w:rsidRDefault="00EE3C86" w:rsidP="002611C7">
      <w:pPr>
        <w:keepNext/>
        <w:numPr>
          <w:ilvl w:val="12"/>
          <w:numId w:val="0"/>
        </w:numPr>
        <w:jc w:val="both"/>
        <w:rPr>
          <w:rFonts w:ascii="Calibri" w:hAnsi="Calibri" w:cs="Calibri"/>
          <w:sz w:val="22"/>
          <w:szCs w:val="20"/>
        </w:rPr>
      </w:pPr>
    </w:p>
    <w:tbl>
      <w:tblPr>
        <w:tblW w:w="10389" w:type="dxa"/>
        <w:jc w:val="center"/>
        <w:tblCellMar>
          <w:left w:w="70" w:type="dxa"/>
          <w:right w:w="70" w:type="dxa"/>
        </w:tblCellMar>
        <w:tblLook w:val="04A0" w:firstRow="1" w:lastRow="0" w:firstColumn="1" w:lastColumn="0" w:noHBand="0" w:noVBand="1"/>
      </w:tblPr>
      <w:tblGrid>
        <w:gridCol w:w="1861"/>
        <w:gridCol w:w="1312"/>
        <w:gridCol w:w="1925"/>
        <w:gridCol w:w="1560"/>
        <w:gridCol w:w="1296"/>
        <w:gridCol w:w="1188"/>
        <w:gridCol w:w="1247"/>
      </w:tblGrid>
      <w:tr w:rsidR="00B02AAB" w:rsidRPr="00924410" w14:paraId="4AB09E2E" w14:textId="77777777" w:rsidTr="002C4A6C">
        <w:trPr>
          <w:trHeight w:val="171"/>
          <w:tblHeader/>
          <w:jc w:val="center"/>
        </w:trPr>
        <w:tc>
          <w:tcPr>
            <w:tcW w:w="186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C36721"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Adresse de l'actif</w:t>
            </w:r>
          </w:p>
        </w:tc>
        <w:tc>
          <w:tcPr>
            <w:tcW w:w="1312" w:type="dxa"/>
            <w:tcBorders>
              <w:top w:val="single" w:sz="4" w:space="0" w:color="auto"/>
              <w:left w:val="nil"/>
              <w:bottom w:val="single" w:sz="4" w:space="0" w:color="auto"/>
              <w:right w:val="single" w:sz="4" w:space="0" w:color="auto"/>
            </w:tcBorders>
            <w:shd w:val="clear" w:color="auto" w:fill="FFC000"/>
            <w:vAlign w:val="center"/>
            <w:hideMark/>
          </w:tcPr>
          <w:p w14:paraId="2B5844B1"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Date d'acquisition</w:t>
            </w:r>
          </w:p>
        </w:tc>
        <w:tc>
          <w:tcPr>
            <w:tcW w:w="1925" w:type="dxa"/>
            <w:tcBorders>
              <w:top w:val="single" w:sz="4" w:space="0" w:color="auto"/>
              <w:left w:val="single" w:sz="4" w:space="0" w:color="auto"/>
              <w:bottom w:val="single" w:sz="4" w:space="0" w:color="auto"/>
              <w:right w:val="single" w:sz="4" w:space="0" w:color="auto"/>
            </w:tcBorders>
            <w:shd w:val="clear" w:color="auto" w:fill="FFC000"/>
          </w:tcPr>
          <w:p w14:paraId="744FFCC2"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Montant en capital initial des prêts souscrits</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3BA0A31A"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Montant restant dû</w:t>
            </w:r>
            <w:r w:rsidRPr="00EE3C86">
              <w:rPr>
                <w:rStyle w:val="Appelnotedebasdep"/>
                <w:rFonts w:ascii="Calibri" w:hAnsi="Calibri" w:cs="Calibri"/>
                <w:b/>
                <w:bCs/>
                <w:color w:val="000000"/>
                <w:sz w:val="22"/>
                <w:szCs w:val="22"/>
              </w:rPr>
              <w:footnoteReference w:id="1"/>
            </w:r>
          </w:p>
        </w:tc>
        <w:tc>
          <w:tcPr>
            <w:tcW w:w="129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C9DE368"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 xml:space="preserve">Situation locative </w:t>
            </w:r>
          </w:p>
        </w:tc>
        <w:tc>
          <w:tcPr>
            <w:tcW w:w="1188" w:type="dxa"/>
            <w:tcBorders>
              <w:top w:val="single" w:sz="4" w:space="0" w:color="auto"/>
              <w:left w:val="nil"/>
              <w:bottom w:val="single" w:sz="4" w:space="0" w:color="auto"/>
              <w:right w:val="single" w:sz="4" w:space="0" w:color="auto"/>
            </w:tcBorders>
            <w:shd w:val="clear" w:color="auto" w:fill="FFC000"/>
            <w:vAlign w:val="center"/>
          </w:tcPr>
          <w:p w14:paraId="7029C0C7"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Nombre de lots à louer</w:t>
            </w:r>
          </w:p>
        </w:tc>
        <w:tc>
          <w:tcPr>
            <w:tcW w:w="1247" w:type="dxa"/>
            <w:tcBorders>
              <w:top w:val="single" w:sz="4" w:space="0" w:color="auto"/>
              <w:left w:val="nil"/>
              <w:bottom w:val="single" w:sz="4" w:space="0" w:color="auto"/>
              <w:right w:val="single" w:sz="4" w:space="0" w:color="auto"/>
            </w:tcBorders>
            <w:shd w:val="clear" w:color="auto" w:fill="FFC000"/>
            <w:vAlign w:val="center"/>
            <w:hideMark/>
          </w:tcPr>
          <w:p w14:paraId="78B82000"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Valorisation</w:t>
            </w:r>
          </w:p>
        </w:tc>
      </w:tr>
      <w:tr w:rsidR="00B02AAB" w:rsidRPr="00924410" w14:paraId="53FEADBE" w14:textId="77777777" w:rsidTr="002C4A6C">
        <w:trPr>
          <w:trHeight w:val="458"/>
          <w:jc w:val="center"/>
        </w:trPr>
        <w:tc>
          <w:tcPr>
            <w:tcW w:w="1861" w:type="dxa"/>
            <w:vMerge w:val="restart"/>
            <w:tcBorders>
              <w:top w:val="single" w:sz="4" w:space="0" w:color="auto"/>
              <w:left w:val="single" w:sz="4" w:space="0" w:color="auto"/>
              <w:right w:val="single" w:sz="4" w:space="0" w:color="auto"/>
            </w:tcBorders>
            <w:vAlign w:val="center"/>
            <w:hideMark/>
          </w:tcPr>
          <w:p w14:paraId="74B1200D" w14:textId="77777777" w:rsidR="00B02AAB" w:rsidRPr="00EE3C86" w:rsidRDefault="00B02AAB" w:rsidP="001B17AA">
            <w:pPr>
              <w:jc w:val="center"/>
              <w:rPr>
                <w:rFonts w:ascii="Calibri" w:hAnsi="Calibri" w:cs="Calibri"/>
                <w:color w:val="000000"/>
                <w:sz w:val="22"/>
                <w:szCs w:val="22"/>
              </w:rPr>
            </w:pPr>
            <w:r w:rsidRPr="00EE3C86">
              <w:rPr>
                <w:rFonts w:ascii="Calibri" w:hAnsi="Calibri" w:cs="Calibri"/>
                <w:color w:val="000000"/>
                <w:sz w:val="22"/>
                <w:szCs w:val="22"/>
              </w:rPr>
              <w:t>39 rue Tolbiac - 75013 Paris</w:t>
            </w:r>
          </w:p>
        </w:tc>
        <w:tc>
          <w:tcPr>
            <w:tcW w:w="1312" w:type="dxa"/>
            <w:vMerge w:val="restart"/>
            <w:tcBorders>
              <w:top w:val="nil"/>
              <w:left w:val="nil"/>
              <w:right w:val="single" w:sz="4" w:space="0" w:color="auto"/>
            </w:tcBorders>
            <w:noWrap/>
            <w:vAlign w:val="center"/>
            <w:hideMark/>
          </w:tcPr>
          <w:p w14:paraId="4A278EA7" w14:textId="77777777" w:rsidR="00B02AAB" w:rsidRPr="00EE3C86" w:rsidRDefault="00B02AAB" w:rsidP="001B17AA">
            <w:pPr>
              <w:jc w:val="center"/>
              <w:rPr>
                <w:rFonts w:ascii="Calibri" w:hAnsi="Calibri" w:cs="Calibri"/>
                <w:color w:val="000000"/>
                <w:sz w:val="22"/>
                <w:szCs w:val="22"/>
              </w:rPr>
            </w:pPr>
            <w:r w:rsidRPr="00EE3C86">
              <w:rPr>
                <w:rFonts w:ascii="Calibri" w:hAnsi="Calibri" w:cs="Calibri"/>
                <w:color w:val="000000"/>
                <w:sz w:val="22"/>
                <w:szCs w:val="22"/>
              </w:rPr>
              <w:t>Décembre 2019</w:t>
            </w:r>
          </w:p>
        </w:tc>
        <w:tc>
          <w:tcPr>
            <w:tcW w:w="1925" w:type="dxa"/>
            <w:vMerge w:val="restart"/>
            <w:tcBorders>
              <w:top w:val="nil"/>
              <w:left w:val="single" w:sz="4" w:space="0" w:color="auto"/>
              <w:right w:val="single" w:sz="4" w:space="0" w:color="auto"/>
            </w:tcBorders>
            <w:vAlign w:val="center"/>
          </w:tcPr>
          <w:p w14:paraId="6A98874A" w14:textId="77777777" w:rsidR="00B02AAB" w:rsidRPr="00EE3C86" w:rsidRDefault="00B02AAB" w:rsidP="001B17AA">
            <w:pPr>
              <w:jc w:val="center"/>
              <w:rPr>
                <w:rFonts w:ascii="Calibri" w:hAnsi="Calibri" w:cs="Calibri"/>
                <w:sz w:val="22"/>
                <w:szCs w:val="22"/>
              </w:rPr>
            </w:pPr>
            <w:r w:rsidRPr="00EE3C86">
              <w:rPr>
                <w:rFonts w:ascii="Calibri" w:hAnsi="Calibri" w:cs="Calibri"/>
                <w:sz w:val="22"/>
                <w:szCs w:val="22"/>
              </w:rPr>
              <w:t>200 000 €</w:t>
            </w:r>
          </w:p>
        </w:tc>
        <w:tc>
          <w:tcPr>
            <w:tcW w:w="1560" w:type="dxa"/>
            <w:vMerge w:val="restart"/>
            <w:tcBorders>
              <w:top w:val="nil"/>
              <w:left w:val="single" w:sz="4" w:space="0" w:color="auto"/>
              <w:right w:val="single" w:sz="4" w:space="0" w:color="auto"/>
            </w:tcBorders>
            <w:vAlign w:val="center"/>
          </w:tcPr>
          <w:p w14:paraId="788B0DED" w14:textId="77777777" w:rsidR="00B02AAB" w:rsidRPr="00EE3C86" w:rsidRDefault="00B02AAB" w:rsidP="001B17AA">
            <w:pPr>
              <w:jc w:val="center"/>
              <w:rPr>
                <w:rFonts w:ascii="Calibri" w:hAnsi="Calibri" w:cs="Calibri"/>
                <w:sz w:val="22"/>
                <w:szCs w:val="22"/>
              </w:rPr>
            </w:pPr>
            <w:r w:rsidRPr="00EE3C86">
              <w:rPr>
                <w:rFonts w:ascii="Calibri" w:hAnsi="Calibri" w:cs="Calibri"/>
                <w:sz w:val="22"/>
                <w:szCs w:val="22"/>
              </w:rPr>
              <w:t>164 792,59 €</w:t>
            </w:r>
          </w:p>
        </w:tc>
        <w:tc>
          <w:tcPr>
            <w:tcW w:w="1296" w:type="dxa"/>
            <w:vMerge w:val="restart"/>
            <w:tcBorders>
              <w:top w:val="nil"/>
              <w:left w:val="single" w:sz="4" w:space="0" w:color="auto"/>
              <w:right w:val="single" w:sz="4" w:space="0" w:color="auto"/>
            </w:tcBorders>
            <w:vAlign w:val="center"/>
            <w:hideMark/>
          </w:tcPr>
          <w:p w14:paraId="09A23A75" w14:textId="77777777" w:rsidR="00B02AAB" w:rsidRPr="00EE3C86" w:rsidRDefault="00B02AAB" w:rsidP="001B17AA">
            <w:pPr>
              <w:jc w:val="center"/>
              <w:rPr>
                <w:rFonts w:ascii="Calibri" w:hAnsi="Calibri" w:cs="Calibri"/>
                <w:color w:val="000000"/>
                <w:sz w:val="22"/>
                <w:szCs w:val="22"/>
              </w:rPr>
            </w:pPr>
            <w:r w:rsidRPr="00EE3C86">
              <w:rPr>
                <w:rFonts w:ascii="Calibri" w:hAnsi="Calibri" w:cs="Calibri"/>
                <w:sz w:val="22"/>
                <w:szCs w:val="22"/>
              </w:rPr>
              <w:t>Location commerciale</w:t>
            </w:r>
          </w:p>
        </w:tc>
        <w:tc>
          <w:tcPr>
            <w:tcW w:w="1188" w:type="dxa"/>
            <w:vMerge w:val="restart"/>
            <w:tcBorders>
              <w:top w:val="single" w:sz="4" w:space="0" w:color="auto"/>
              <w:left w:val="nil"/>
              <w:right w:val="single" w:sz="4" w:space="0" w:color="auto"/>
            </w:tcBorders>
            <w:vAlign w:val="center"/>
          </w:tcPr>
          <w:p w14:paraId="2FA949A3" w14:textId="77777777" w:rsidR="00B02AAB" w:rsidRPr="00EE3C86" w:rsidRDefault="00B02AAB" w:rsidP="001B17AA">
            <w:pPr>
              <w:jc w:val="center"/>
              <w:rPr>
                <w:rFonts w:ascii="Calibri" w:hAnsi="Calibri" w:cs="Calibri"/>
                <w:color w:val="000000"/>
                <w:sz w:val="22"/>
                <w:szCs w:val="22"/>
              </w:rPr>
            </w:pPr>
            <w:r w:rsidRPr="00EE3C86">
              <w:rPr>
                <w:rFonts w:ascii="Calibri" w:hAnsi="Calibri" w:cs="Calibri"/>
                <w:color w:val="000000"/>
                <w:sz w:val="22"/>
                <w:szCs w:val="22"/>
              </w:rPr>
              <w:t>2</w:t>
            </w:r>
          </w:p>
        </w:tc>
        <w:tc>
          <w:tcPr>
            <w:tcW w:w="1247" w:type="dxa"/>
            <w:tcBorders>
              <w:top w:val="single" w:sz="4" w:space="0" w:color="auto"/>
              <w:left w:val="nil"/>
              <w:bottom w:val="single" w:sz="4" w:space="0" w:color="auto"/>
              <w:right w:val="single" w:sz="4" w:space="0" w:color="auto"/>
            </w:tcBorders>
            <w:vAlign w:val="center"/>
            <w:hideMark/>
          </w:tcPr>
          <w:p w14:paraId="59A6184A" w14:textId="280B061B" w:rsidR="00B02AAB" w:rsidRPr="00EE3C86" w:rsidRDefault="002C4A6C" w:rsidP="001B17AA">
            <w:pPr>
              <w:jc w:val="center"/>
              <w:rPr>
                <w:rFonts w:ascii="Calibri" w:hAnsi="Calibri" w:cs="Calibri"/>
                <w:color w:val="000000"/>
                <w:sz w:val="22"/>
                <w:szCs w:val="22"/>
              </w:rPr>
            </w:pPr>
            <w:r>
              <w:rPr>
                <w:rFonts w:ascii="Calibri" w:hAnsi="Calibri" w:cs="Calibri"/>
                <w:color w:val="000000"/>
                <w:sz w:val="22"/>
                <w:szCs w:val="22"/>
              </w:rPr>
              <w:t>390 000 €</w:t>
            </w:r>
          </w:p>
        </w:tc>
      </w:tr>
      <w:tr w:rsidR="002C4A6C" w:rsidRPr="00924410" w14:paraId="43DE1303" w14:textId="77777777" w:rsidTr="002C4A6C">
        <w:trPr>
          <w:trHeight w:val="538"/>
          <w:jc w:val="center"/>
        </w:trPr>
        <w:tc>
          <w:tcPr>
            <w:tcW w:w="1861" w:type="dxa"/>
            <w:vMerge/>
            <w:tcBorders>
              <w:left w:val="single" w:sz="4" w:space="0" w:color="auto"/>
              <w:right w:val="single" w:sz="4" w:space="0" w:color="auto"/>
            </w:tcBorders>
            <w:vAlign w:val="center"/>
          </w:tcPr>
          <w:p w14:paraId="6C5C2A36" w14:textId="77777777" w:rsidR="002C4A6C" w:rsidRPr="00EE3C86" w:rsidRDefault="002C4A6C" w:rsidP="001B17AA">
            <w:pPr>
              <w:jc w:val="center"/>
              <w:rPr>
                <w:rFonts w:ascii="Calibri" w:hAnsi="Calibri" w:cs="Calibri"/>
                <w:color w:val="000000"/>
                <w:sz w:val="22"/>
                <w:szCs w:val="22"/>
              </w:rPr>
            </w:pPr>
          </w:p>
        </w:tc>
        <w:tc>
          <w:tcPr>
            <w:tcW w:w="1312" w:type="dxa"/>
            <w:vMerge/>
            <w:tcBorders>
              <w:left w:val="nil"/>
              <w:right w:val="single" w:sz="4" w:space="0" w:color="auto"/>
            </w:tcBorders>
            <w:noWrap/>
            <w:vAlign w:val="center"/>
          </w:tcPr>
          <w:p w14:paraId="26CC51CE" w14:textId="77777777" w:rsidR="002C4A6C" w:rsidRPr="00EE3C86" w:rsidRDefault="002C4A6C" w:rsidP="001B17AA">
            <w:pPr>
              <w:jc w:val="center"/>
              <w:rPr>
                <w:rFonts w:ascii="Calibri" w:hAnsi="Calibri" w:cs="Calibri"/>
                <w:color w:val="000000"/>
                <w:sz w:val="22"/>
                <w:szCs w:val="22"/>
              </w:rPr>
            </w:pPr>
          </w:p>
        </w:tc>
        <w:tc>
          <w:tcPr>
            <w:tcW w:w="1925" w:type="dxa"/>
            <w:vMerge/>
            <w:tcBorders>
              <w:left w:val="single" w:sz="4" w:space="0" w:color="auto"/>
              <w:right w:val="single" w:sz="4" w:space="0" w:color="auto"/>
            </w:tcBorders>
          </w:tcPr>
          <w:p w14:paraId="076B0CCD" w14:textId="77777777" w:rsidR="002C4A6C" w:rsidRPr="00EE3C86" w:rsidRDefault="002C4A6C" w:rsidP="001B17AA">
            <w:pPr>
              <w:jc w:val="center"/>
              <w:rPr>
                <w:rFonts w:ascii="Calibri" w:hAnsi="Calibri" w:cs="Calibri"/>
                <w:sz w:val="22"/>
                <w:szCs w:val="22"/>
              </w:rPr>
            </w:pPr>
          </w:p>
        </w:tc>
        <w:tc>
          <w:tcPr>
            <w:tcW w:w="1560" w:type="dxa"/>
            <w:vMerge/>
            <w:tcBorders>
              <w:left w:val="single" w:sz="4" w:space="0" w:color="auto"/>
              <w:right w:val="single" w:sz="4" w:space="0" w:color="auto"/>
            </w:tcBorders>
          </w:tcPr>
          <w:p w14:paraId="30D6DA75" w14:textId="77777777" w:rsidR="002C4A6C" w:rsidRPr="00EE3C86" w:rsidRDefault="002C4A6C" w:rsidP="001B17AA">
            <w:pPr>
              <w:jc w:val="center"/>
              <w:rPr>
                <w:rFonts w:ascii="Calibri" w:hAnsi="Calibri" w:cs="Calibri"/>
                <w:sz w:val="22"/>
                <w:szCs w:val="22"/>
              </w:rPr>
            </w:pPr>
          </w:p>
        </w:tc>
        <w:tc>
          <w:tcPr>
            <w:tcW w:w="1296" w:type="dxa"/>
            <w:vMerge/>
            <w:tcBorders>
              <w:left w:val="single" w:sz="4" w:space="0" w:color="auto"/>
              <w:right w:val="single" w:sz="4" w:space="0" w:color="auto"/>
            </w:tcBorders>
            <w:vAlign w:val="center"/>
          </w:tcPr>
          <w:p w14:paraId="3D878702" w14:textId="77777777" w:rsidR="002C4A6C" w:rsidRPr="00EE3C86" w:rsidRDefault="002C4A6C" w:rsidP="001B17AA">
            <w:pPr>
              <w:jc w:val="center"/>
              <w:rPr>
                <w:rFonts w:ascii="Calibri" w:hAnsi="Calibri" w:cs="Calibri"/>
                <w:sz w:val="22"/>
                <w:szCs w:val="22"/>
              </w:rPr>
            </w:pPr>
          </w:p>
        </w:tc>
        <w:tc>
          <w:tcPr>
            <w:tcW w:w="1188" w:type="dxa"/>
            <w:vMerge/>
            <w:tcBorders>
              <w:left w:val="nil"/>
              <w:right w:val="single" w:sz="4" w:space="0" w:color="auto"/>
            </w:tcBorders>
            <w:vAlign w:val="center"/>
          </w:tcPr>
          <w:p w14:paraId="13531CAA" w14:textId="77777777" w:rsidR="002C4A6C" w:rsidRPr="00EE3C86" w:rsidRDefault="002C4A6C" w:rsidP="001B17AA">
            <w:pPr>
              <w:jc w:val="center"/>
              <w:rPr>
                <w:rFonts w:ascii="Calibri" w:hAnsi="Calibri" w:cs="Calibri"/>
                <w:color w:val="000000"/>
                <w:sz w:val="22"/>
                <w:szCs w:val="22"/>
              </w:rPr>
            </w:pPr>
          </w:p>
        </w:tc>
        <w:tc>
          <w:tcPr>
            <w:tcW w:w="1247" w:type="dxa"/>
            <w:tcBorders>
              <w:top w:val="single" w:sz="4" w:space="0" w:color="auto"/>
              <w:left w:val="nil"/>
              <w:bottom w:val="single" w:sz="4" w:space="0" w:color="auto"/>
              <w:right w:val="single" w:sz="4" w:space="0" w:color="auto"/>
            </w:tcBorders>
            <w:vAlign w:val="center"/>
          </w:tcPr>
          <w:p w14:paraId="0F301D3B" w14:textId="75FDA8A7" w:rsidR="002C4A6C" w:rsidRPr="00EE3C86" w:rsidRDefault="002C4A6C" w:rsidP="001B17AA">
            <w:pPr>
              <w:jc w:val="center"/>
              <w:rPr>
                <w:rFonts w:ascii="Calibri" w:hAnsi="Calibri" w:cs="Calibri"/>
                <w:color w:val="000000"/>
                <w:sz w:val="22"/>
                <w:szCs w:val="22"/>
              </w:rPr>
            </w:pPr>
            <w:r>
              <w:rPr>
                <w:rFonts w:ascii="Calibri" w:hAnsi="Calibri" w:cs="Calibri"/>
                <w:color w:val="000000"/>
                <w:sz w:val="22"/>
                <w:szCs w:val="22"/>
              </w:rPr>
              <w:t>190 000 €</w:t>
            </w:r>
          </w:p>
        </w:tc>
      </w:tr>
      <w:tr w:rsidR="00B02AAB" w:rsidRPr="00924410" w14:paraId="4F50A560" w14:textId="77777777" w:rsidTr="002C4A6C">
        <w:trPr>
          <w:trHeight w:val="170"/>
          <w:jc w:val="center"/>
        </w:trPr>
        <w:tc>
          <w:tcPr>
            <w:tcW w:w="3173" w:type="dxa"/>
            <w:gridSpan w:val="2"/>
            <w:tcBorders>
              <w:top w:val="single" w:sz="4" w:space="0" w:color="auto"/>
              <w:left w:val="single" w:sz="4" w:space="0" w:color="auto"/>
              <w:bottom w:val="single" w:sz="4" w:space="0" w:color="auto"/>
              <w:right w:val="single" w:sz="4" w:space="0" w:color="auto"/>
            </w:tcBorders>
            <w:shd w:val="clear" w:color="auto" w:fill="FFC000"/>
          </w:tcPr>
          <w:p w14:paraId="0A8F747C"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Total</w:t>
            </w:r>
          </w:p>
        </w:tc>
        <w:tc>
          <w:tcPr>
            <w:tcW w:w="1925" w:type="dxa"/>
            <w:tcBorders>
              <w:top w:val="single" w:sz="4" w:space="0" w:color="auto"/>
              <w:left w:val="single" w:sz="4" w:space="0" w:color="auto"/>
              <w:bottom w:val="single" w:sz="4" w:space="0" w:color="auto"/>
              <w:right w:val="single" w:sz="4" w:space="0" w:color="auto"/>
            </w:tcBorders>
            <w:shd w:val="clear" w:color="auto" w:fill="FFC000"/>
          </w:tcPr>
          <w:p w14:paraId="3C745EF6"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200 000 €</w:t>
            </w:r>
          </w:p>
        </w:tc>
        <w:tc>
          <w:tcPr>
            <w:tcW w:w="1560" w:type="dxa"/>
            <w:tcBorders>
              <w:top w:val="single" w:sz="4" w:space="0" w:color="auto"/>
              <w:left w:val="single" w:sz="4" w:space="0" w:color="auto"/>
              <w:bottom w:val="single" w:sz="4" w:space="0" w:color="auto"/>
              <w:right w:val="single" w:sz="4" w:space="0" w:color="auto"/>
            </w:tcBorders>
            <w:shd w:val="clear" w:color="auto" w:fill="FFC000"/>
          </w:tcPr>
          <w:p w14:paraId="576BD9C2"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164 792,59 €</w:t>
            </w:r>
          </w:p>
        </w:tc>
        <w:tc>
          <w:tcPr>
            <w:tcW w:w="1296" w:type="dxa"/>
            <w:tcBorders>
              <w:top w:val="single" w:sz="4" w:space="0" w:color="auto"/>
              <w:left w:val="single" w:sz="4" w:space="0" w:color="auto"/>
              <w:bottom w:val="single" w:sz="4" w:space="0" w:color="auto"/>
              <w:right w:val="single" w:sz="4" w:space="0" w:color="auto"/>
            </w:tcBorders>
            <w:shd w:val="clear" w:color="auto" w:fill="FFC000"/>
            <w:vAlign w:val="center"/>
          </w:tcPr>
          <w:p w14:paraId="5F8DD1E0" w14:textId="77777777" w:rsidR="00B02AAB" w:rsidRPr="00EE3C86" w:rsidRDefault="00B02AAB" w:rsidP="001B17AA">
            <w:pPr>
              <w:jc w:val="center"/>
              <w:rPr>
                <w:rFonts w:ascii="Calibri" w:hAnsi="Calibri" w:cs="Calibri"/>
                <w:b/>
                <w:bCs/>
                <w:color w:val="000000"/>
                <w:sz w:val="22"/>
                <w:szCs w:val="22"/>
              </w:rPr>
            </w:pPr>
          </w:p>
        </w:tc>
        <w:tc>
          <w:tcPr>
            <w:tcW w:w="1188" w:type="dxa"/>
            <w:tcBorders>
              <w:top w:val="single" w:sz="4" w:space="0" w:color="auto"/>
              <w:left w:val="nil"/>
              <w:bottom w:val="single" w:sz="4" w:space="0" w:color="auto"/>
              <w:right w:val="single" w:sz="4" w:space="0" w:color="auto"/>
            </w:tcBorders>
            <w:shd w:val="clear" w:color="auto" w:fill="FFC000"/>
          </w:tcPr>
          <w:p w14:paraId="5EB95584" w14:textId="77777777" w:rsidR="00B02AAB" w:rsidRPr="00EE3C86" w:rsidRDefault="00B02AAB" w:rsidP="001B17AA">
            <w:pPr>
              <w:jc w:val="center"/>
              <w:rPr>
                <w:rFonts w:ascii="Calibri" w:hAnsi="Calibri" w:cs="Calibri"/>
                <w:b/>
                <w:bCs/>
                <w:color w:val="000000"/>
                <w:sz w:val="22"/>
                <w:szCs w:val="22"/>
              </w:rPr>
            </w:pPr>
            <w:r w:rsidRPr="00EE3C86">
              <w:rPr>
                <w:rFonts w:ascii="Calibri" w:hAnsi="Calibri" w:cs="Calibri"/>
                <w:b/>
                <w:bCs/>
                <w:color w:val="000000"/>
                <w:sz w:val="22"/>
                <w:szCs w:val="22"/>
              </w:rPr>
              <w:t>2</w:t>
            </w:r>
          </w:p>
        </w:tc>
        <w:tc>
          <w:tcPr>
            <w:tcW w:w="1247" w:type="dxa"/>
            <w:tcBorders>
              <w:top w:val="single" w:sz="4" w:space="0" w:color="auto"/>
              <w:left w:val="single" w:sz="4" w:space="0" w:color="auto"/>
              <w:bottom w:val="single" w:sz="4" w:space="0" w:color="auto"/>
              <w:right w:val="single" w:sz="4" w:space="0" w:color="auto"/>
            </w:tcBorders>
            <w:shd w:val="clear" w:color="auto" w:fill="FFC000"/>
            <w:vAlign w:val="center"/>
          </w:tcPr>
          <w:p w14:paraId="6D9D86FE" w14:textId="6C367A2D" w:rsidR="00B02AAB" w:rsidRPr="00EE3C86" w:rsidRDefault="002C4A6C" w:rsidP="001B17AA">
            <w:pPr>
              <w:jc w:val="center"/>
              <w:rPr>
                <w:rFonts w:ascii="Calibri" w:hAnsi="Calibri" w:cs="Calibri"/>
                <w:b/>
                <w:bCs/>
                <w:color w:val="000000"/>
                <w:sz w:val="22"/>
                <w:szCs w:val="22"/>
              </w:rPr>
            </w:pPr>
            <w:r>
              <w:rPr>
                <w:rFonts w:ascii="Calibri" w:hAnsi="Calibri" w:cs="Calibri"/>
                <w:b/>
                <w:bCs/>
                <w:color w:val="000000"/>
                <w:sz w:val="22"/>
                <w:szCs w:val="22"/>
              </w:rPr>
              <w:t>580 000 €</w:t>
            </w:r>
          </w:p>
        </w:tc>
      </w:tr>
    </w:tbl>
    <w:p w14:paraId="0B1DEA7E" w14:textId="77777777" w:rsidR="00B02AAB" w:rsidRDefault="00B02AAB" w:rsidP="00B02AAB">
      <w:pPr>
        <w:spacing w:line="259" w:lineRule="auto"/>
        <w:rPr>
          <w:rFonts w:ascii="Calibri" w:hAnsi="Calibri" w:cs="Calibri"/>
          <w:b/>
          <w:sz w:val="22"/>
          <w:szCs w:val="22"/>
        </w:rPr>
      </w:pPr>
      <w:bookmarkStart w:id="25" w:name="_Toc191908181"/>
    </w:p>
    <w:p w14:paraId="42EED5E9" w14:textId="45633CBD" w:rsidR="00B02AAB" w:rsidRDefault="00B02AAB" w:rsidP="00B02AAB">
      <w:pPr>
        <w:spacing w:line="259" w:lineRule="auto"/>
        <w:rPr>
          <w:rFonts w:ascii="Calibri" w:hAnsi="Calibri" w:cs="Calibri"/>
          <w:b/>
          <w:sz w:val="22"/>
          <w:szCs w:val="22"/>
        </w:rPr>
      </w:pPr>
      <w:r>
        <w:rPr>
          <w:rFonts w:ascii="Calibri" w:hAnsi="Calibri" w:cs="Calibri"/>
          <w:b/>
          <w:sz w:val="22"/>
          <w:szCs w:val="22"/>
        </w:rPr>
        <w:br w:type="page"/>
      </w:r>
    </w:p>
    <w:p w14:paraId="3917185E" w14:textId="4C49B698" w:rsidR="0025342B" w:rsidRPr="00305C0B" w:rsidRDefault="0025342B"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26" w:name="_Toc222908290"/>
      <w:r w:rsidRPr="00305C0B">
        <w:rPr>
          <w:rFonts w:ascii="Calibri" w:hAnsi="Calibri" w:cs="Calibri"/>
          <w:b/>
          <w:sz w:val="22"/>
          <w:szCs w:val="22"/>
        </w:rPr>
        <w:lastRenderedPageBreak/>
        <w:t>ORIGINE DES DIFFICULTES</w:t>
      </w:r>
      <w:bookmarkEnd w:id="25"/>
      <w:bookmarkEnd w:id="26"/>
    </w:p>
    <w:p w14:paraId="4A36A14F" w14:textId="77777777" w:rsidR="0025342B" w:rsidRPr="00A515CB" w:rsidRDefault="0025342B" w:rsidP="006C2F98">
      <w:pPr>
        <w:jc w:val="both"/>
        <w:rPr>
          <w:rFonts w:ascii="Calibri" w:hAnsi="Calibri" w:cs="Calibri"/>
          <w:sz w:val="20"/>
          <w:szCs w:val="20"/>
        </w:rPr>
      </w:pPr>
    </w:p>
    <w:p w14:paraId="3E241F4A" w14:textId="77777777" w:rsidR="00284FE5" w:rsidRPr="00284FE5" w:rsidRDefault="00284FE5" w:rsidP="00284FE5">
      <w:pPr>
        <w:spacing w:after="160" w:line="259" w:lineRule="auto"/>
        <w:jc w:val="both"/>
        <w:rPr>
          <w:rFonts w:ascii="Calibri" w:hAnsi="Calibri" w:cs="Calibri"/>
          <w:sz w:val="22"/>
          <w:szCs w:val="22"/>
        </w:rPr>
      </w:pPr>
      <w:r w:rsidRPr="00284FE5">
        <w:rPr>
          <w:rFonts w:ascii="Calibri" w:hAnsi="Calibri" w:cs="Calibri"/>
          <w:sz w:val="22"/>
          <w:szCs w:val="22"/>
        </w:rPr>
        <w:t>Selon le management, les difficultés rencontrées par le Groupe résultent principalement de :</w:t>
      </w:r>
    </w:p>
    <w:p w14:paraId="0AD12530" w14:textId="77777777" w:rsidR="00284FE5" w:rsidRPr="00284FE5" w:rsidRDefault="00284FE5" w:rsidP="00B132A0">
      <w:pPr>
        <w:numPr>
          <w:ilvl w:val="0"/>
          <w:numId w:val="1"/>
        </w:numPr>
        <w:spacing w:after="160" w:line="259" w:lineRule="auto"/>
        <w:jc w:val="both"/>
        <w:rPr>
          <w:rFonts w:ascii="Calibri" w:hAnsi="Calibri" w:cs="Calibri"/>
          <w:sz w:val="22"/>
          <w:szCs w:val="22"/>
        </w:rPr>
      </w:pPr>
      <w:r w:rsidRPr="00284FE5">
        <w:rPr>
          <w:rFonts w:ascii="Calibri" w:hAnsi="Calibri" w:cs="Calibri"/>
          <w:b/>
          <w:bCs/>
          <w:sz w:val="22"/>
          <w:szCs w:val="22"/>
        </w:rPr>
        <w:t>La crise immobilière actuelle</w:t>
      </w:r>
      <w:r w:rsidRPr="00284FE5">
        <w:rPr>
          <w:rFonts w:ascii="Calibri" w:hAnsi="Calibri" w:cs="Calibri"/>
          <w:sz w:val="22"/>
          <w:szCs w:val="22"/>
        </w:rPr>
        <w:t xml:space="preserve"> entrainant une dévalorisation des actifs du Groupe dans un contexte de marché illiquide et paralysé.</w:t>
      </w:r>
    </w:p>
    <w:p w14:paraId="46ABC226" w14:textId="7D24740F" w:rsidR="00284FE5" w:rsidRPr="00284FE5" w:rsidRDefault="00284FE5" w:rsidP="00B132A0">
      <w:pPr>
        <w:numPr>
          <w:ilvl w:val="0"/>
          <w:numId w:val="1"/>
        </w:numPr>
        <w:spacing w:after="160" w:line="259" w:lineRule="auto"/>
        <w:jc w:val="both"/>
        <w:rPr>
          <w:rFonts w:ascii="Calibri" w:hAnsi="Calibri" w:cs="Calibri"/>
          <w:sz w:val="22"/>
          <w:szCs w:val="22"/>
        </w:rPr>
      </w:pPr>
      <w:r w:rsidRPr="00284FE5">
        <w:rPr>
          <w:rFonts w:ascii="Calibri" w:hAnsi="Calibri" w:cs="Calibri"/>
          <w:b/>
          <w:bCs/>
          <w:sz w:val="22"/>
          <w:szCs w:val="22"/>
        </w:rPr>
        <w:t>Des tensions au sein de l’actionnariat du Groupe et des Sous-Groupes SIMD et Saint-Tropez</w:t>
      </w:r>
      <w:r>
        <w:rPr>
          <w:rFonts w:ascii="Calibri" w:hAnsi="Calibri" w:cs="Calibri"/>
          <w:sz w:val="22"/>
          <w:szCs w:val="22"/>
        </w:rPr>
        <w:t>.</w:t>
      </w:r>
    </w:p>
    <w:p w14:paraId="4643FF6D" w14:textId="6EDDB23D" w:rsidR="00284FE5" w:rsidRPr="00284FE5" w:rsidRDefault="00284FE5" w:rsidP="00305C0B">
      <w:pPr>
        <w:spacing w:line="259" w:lineRule="auto"/>
        <w:jc w:val="both"/>
        <w:rPr>
          <w:rFonts w:ascii="Calibri" w:hAnsi="Calibri" w:cs="Calibri"/>
          <w:sz w:val="22"/>
          <w:szCs w:val="22"/>
        </w:rPr>
      </w:pPr>
      <w:r w:rsidRPr="00284FE5">
        <w:rPr>
          <w:rFonts w:ascii="Calibri" w:hAnsi="Calibri" w:cs="Calibri"/>
          <w:sz w:val="22"/>
          <w:szCs w:val="22"/>
        </w:rPr>
        <w:t>Dans ce contexte, malgré le fait que le Groupe ait cherché à mettre en œuvre la cession de certains de ses actifs, la persistance de la crise inflationniste et de la crise immobilière, couplée à l’augmentation des taux Euribor, gonflant la charge de la dette du Groupe ont contraint l</w:t>
      </w:r>
      <w:r w:rsidR="00070F82">
        <w:rPr>
          <w:rFonts w:ascii="Calibri" w:hAnsi="Calibri" w:cs="Calibri"/>
          <w:sz w:val="22"/>
          <w:szCs w:val="22"/>
        </w:rPr>
        <w:t>a plupart des sociétés du Groupe, dont la</w:t>
      </w:r>
      <w:r>
        <w:rPr>
          <w:rFonts w:ascii="Calibri" w:hAnsi="Calibri" w:cs="Calibri"/>
          <w:sz w:val="22"/>
          <w:szCs w:val="22"/>
        </w:rPr>
        <w:t xml:space="preserve"> </w:t>
      </w:r>
      <w:r w:rsidR="00070F82">
        <w:rPr>
          <w:rFonts w:ascii="Calibri" w:hAnsi="Calibri" w:cs="Calibri"/>
          <w:sz w:val="22"/>
          <w:szCs w:val="22"/>
        </w:rPr>
        <w:t>S</w:t>
      </w:r>
      <w:r w:rsidRPr="00284FE5">
        <w:rPr>
          <w:rFonts w:ascii="Calibri" w:hAnsi="Calibri" w:cs="Calibri"/>
          <w:sz w:val="22"/>
          <w:szCs w:val="22"/>
        </w:rPr>
        <w:t>ociété</w:t>
      </w:r>
      <w:r w:rsidR="00157FF2">
        <w:rPr>
          <w:rFonts w:ascii="Calibri" w:hAnsi="Calibri" w:cs="Calibri"/>
          <w:sz w:val="22"/>
          <w:szCs w:val="22"/>
        </w:rPr>
        <w:t xml:space="preserve">, </w:t>
      </w:r>
      <w:r w:rsidRPr="00284FE5">
        <w:rPr>
          <w:rFonts w:ascii="Calibri" w:hAnsi="Calibri" w:cs="Calibri"/>
          <w:sz w:val="22"/>
          <w:szCs w:val="22"/>
        </w:rPr>
        <w:t xml:space="preserve">à régulariser </w:t>
      </w:r>
      <w:r>
        <w:rPr>
          <w:rFonts w:ascii="Calibri" w:hAnsi="Calibri" w:cs="Calibri"/>
          <w:sz w:val="22"/>
          <w:szCs w:val="22"/>
        </w:rPr>
        <w:t xml:space="preserve">une </w:t>
      </w:r>
      <w:r w:rsidRPr="00284FE5">
        <w:rPr>
          <w:rFonts w:ascii="Calibri" w:hAnsi="Calibri" w:cs="Calibri"/>
          <w:sz w:val="22"/>
          <w:szCs w:val="22"/>
        </w:rPr>
        <w:t>déclaration</w:t>
      </w:r>
      <w:r>
        <w:rPr>
          <w:rFonts w:ascii="Calibri" w:hAnsi="Calibri" w:cs="Calibri"/>
          <w:sz w:val="22"/>
          <w:szCs w:val="22"/>
        </w:rPr>
        <w:t xml:space="preserve"> </w:t>
      </w:r>
      <w:r w:rsidRPr="00284FE5">
        <w:rPr>
          <w:rFonts w:ascii="Calibri" w:hAnsi="Calibri" w:cs="Calibri"/>
          <w:sz w:val="22"/>
          <w:szCs w:val="22"/>
        </w:rPr>
        <w:t xml:space="preserve">de cessation des paiements et </w:t>
      </w:r>
      <w:r>
        <w:rPr>
          <w:rFonts w:ascii="Calibri" w:hAnsi="Calibri" w:cs="Calibri"/>
          <w:sz w:val="22"/>
          <w:szCs w:val="22"/>
        </w:rPr>
        <w:t xml:space="preserve">à </w:t>
      </w:r>
      <w:r w:rsidRPr="00284FE5">
        <w:rPr>
          <w:rFonts w:ascii="Calibri" w:hAnsi="Calibri" w:cs="Calibri"/>
          <w:sz w:val="22"/>
          <w:szCs w:val="22"/>
        </w:rPr>
        <w:t>solliciter l’ouverture d</w:t>
      </w:r>
      <w:r>
        <w:rPr>
          <w:rFonts w:ascii="Calibri" w:hAnsi="Calibri" w:cs="Calibri"/>
          <w:sz w:val="22"/>
          <w:szCs w:val="22"/>
        </w:rPr>
        <w:t>’une</w:t>
      </w:r>
      <w:r w:rsidRPr="00284FE5">
        <w:rPr>
          <w:rFonts w:ascii="Calibri" w:hAnsi="Calibri" w:cs="Calibri"/>
          <w:sz w:val="22"/>
          <w:szCs w:val="22"/>
        </w:rPr>
        <w:t xml:space="preserve"> procédure</w:t>
      </w:r>
      <w:r>
        <w:rPr>
          <w:rFonts w:ascii="Calibri" w:hAnsi="Calibri" w:cs="Calibri"/>
          <w:sz w:val="22"/>
          <w:szCs w:val="22"/>
        </w:rPr>
        <w:t xml:space="preserve"> </w:t>
      </w:r>
      <w:r w:rsidRPr="00284FE5">
        <w:rPr>
          <w:rFonts w:ascii="Calibri" w:hAnsi="Calibri" w:cs="Calibri"/>
          <w:sz w:val="22"/>
          <w:szCs w:val="22"/>
        </w:rPr>
        <w:t>de redressement judiciaire.</w:t>
      </w:r>
    </w:p>
    <w:p w14:paraId="4BC0089F" w14:textId="538A8400" w:rsidR="0025342B" w:rsidRDefault="0025342B" w:rsidP="00305C0B">
      <w:pPr>
        <w:spacing w:line="259" w:lineRule="auto"/>
        <w:rPr>
          <w:rFonts w:ascii="Calibri" w:hAnsi="Calibri" w:cs="Calibri"/>
          <w:sz w:val="22"/>
          <w:szCs w:val="22"/>
        </w:rPr>
      </w:pPr>
    </w:p>
    <w:p w14:paraId="7C9E2A07" w14:textId="77777777" w:rsidR="00305C0B" w:rsidRPr="00D64765" w:rsidRDefault="00305C0B"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27" w:name="_Toc204944189"/>
      <w:bookmarkStart w:id="28" w:name="_Toc222908291"/>
      <w:r w:rsidRPr="00D64765">
        <w:rPr>
          <w:rFonts w:ascii="Calibri" w:hAnsi="Calibri" w:cs="Calibri"/>
          <w:b/>
          <w:sz w:val="22"/>
          <w:szCs w:val="22"/>
        </w:rPr>
        <w:t>RESULTATS FINANCIERS</w:t>
      </w:r>
      <w:bookmarkEnd w:id="27"/>
      <w:bookmarkEnd w:id="28"/>
    </w:p>
    <w:p w14:paraId="50CBD5EF" w14:textId="77777777" w:rsidR="00A75025" w:rsidRDefault="00A75025" w:rsidP="00AA5855">
      <w:pPr>
        <w:jc w:val="both"/>
        <w:rPr>
          <w:rFonts w:ascii="Calibri" w:hAnsi="Calibri" w:cs="Calibri"/>
          <w:sz w:val="22"/>
          <w:szCs w:val="22"/>
        </w:rPr>
      </w:pPr>
    </w:p>
    <w:p w14:paraId="016EA0AE" w14:textId="109EF182" w:rsidR="00262F59" w:rsidRPr="00262F59" w:rsidRDefault="00262F59" w:rsidP="002C4A6C">
      <w:pPr>
        <w:spacing w:line="259" w:lineRule="auto"/>
        <w:jc w:val="both"/>
        <w:rPr>
          <w:rFonts w:ascii="Calibri" w:hAnsi="Calibri" w:cs="Calibri"/>
          <w:bCs/>
          <w:sz w:val="22"/>
          <w:szCs w:val="22"/>
        </w:rPr>
      </w:pPr>
      <w:r w:rsidRPr="00262F59">
        <w:rPr>
          <w:rFonts w:ascii="Calibri" w:hAnsi="Calibri" w:cs="Calibri"/>
          <w:bCs/>
          <w:sz w:val="22"/>
          <w:szCs w:val="22"/>
        </w:rPr>
        <w:t xml:space="preserve">La synthèse des principaux agrégats des comptes des trois derniers exercices clos de la </w:t>
      </w:r>
      <w:r w:rsidRPr="00262F59">
        <w:rPr>
          <w:rFonts w:ascii="Calibri" w:hAnsi="Calibri" w:cs="Calibri"/>
          <w:b/>
          <w:bCs/>
          <w:sz w:val="22"/>
          <w:szCs w:val="22"/>
        </w:rPr>
        <w:t xml:space="preserve">société </w:t>
      </w:r>
      <w:r w:rsidR="004B5EF2">
        <w:rPr>
          <w:rFonts w:ascii="Calibri" w:hAnsi="Calibri" w:cs="Calibri"/>
          <w:b/>
          <w:bCs/>
          <w:sz w:val="22"/>
          <w:szCs w:val="22"/>
        </w:rPr>
        <w:t xml:space="preserve">SCI Tolbiac </w:t>
      </w:r>
      <w:r w:rsidRPr="00262F59">
        <w:rPr>
          <w:rFonts w:ascii="Calibri" w:hAnsi="Calibri" w:cs="Calibri"/>
          <w:bCs/>
          <w:sz w:val="22"/>
          <w:szCs w:val="22"/>
        </w:rPr>
        <w:t>se présente comme suit :</w:t>
      </w:r>
    </w:p>
    <w:p w14:paraId="0C16D708" w14:textId="77777777" w:rsidR="00262F59" w:rsidRPr="00262F59" w:rsidRDefault="00262F59" w:rsidP="00262F59">
      <w:pPr>
        <w:spacing w:line="259" w:lineRule="auto"/>
        <w:rPr>
          <w:rFonts w:ascii="Calibri" w:hAnsi="Calibri" w:cs="Calibri"/>
          <w:bCs/>
          <w:sz w:val="22"/>
          <w:szCs w:val="22"/>
        </w:rPr>
      </w:pPr>
    </w:p>
    <w:tbl>
      <w:tblPr>
        <w:tblW w:w="7366" w:type="dxa"/>
        <w:jc w:val="center"/>
        <w:tblCellMar>
          <w:left w:w="70" w:type="dxa"/>
          <w:right w:w="70" w:type="dxa"/>
        </w:tblCellMar>
        <w:tblLook w:val="04A0" w:firstRow="1" w:lastRow="0" w:firstColumn="1" w:lastColumn="0" w:noHBand="0" w:noVBand="1"/>
      </w:tblPr>
      <w:tblGrid>
        <w:gridCol w:w="3558"/>
        <w:gridCol w:w="1257"/>
        <w:gridCol w:w="1276"/>
        <w:gridCol w:w="1275"/>
      </w:tblGrid>
      <w:tr w:rsidR="001B223A" w:rsidRPr="001B223A" w14:paraId="38AF7DAF" w14:textId="77777777" w:rsidTr="001B17AA">
        <w:trPr>
          <w:trHeight w:val="20"/>
          <w:jc w:val="center"/>
        </w:trPr>
        <w:tc>
          <w:tcPr>
            <w:tcW w:w="355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E9BB092" w14:textId="77777777" w:rsidR="001B223A" w:rsidRPr="001B223A" w:rsidRDefault="001B223A" w:rsidP="001B17AA">
            <w:pPr>
              <w:rPr>
                <w:rFonts w:ascii="Calibri" w:hAnsi="Calibri" w:cs="Calibri"/>
                <w:b/>
                <w:bCs/>
                <w:color w:val="000000"/>
                <w:sz w:val="22"/>
                <w:szCs w:val="22"/>
              </w:rPr>
            </w:pPr>
            <w:r w:rsidRPr="001B223A">
              <w:rPr>
                <w:rFonts w:ascii="Calibri" w:hAnsi="Calibri" w:cs="Calibri"/>
                <w:b/>
                <w:bCs/>
                <w:color w:val="000000"/>
                <w:sz w:val="22"/>
                <w:szCs w:val="22"/>
              </w:rPr>
              <w:t>Exercice</w:t>
            </w:r>
          </w:p>
        </w:tc>
        <w:tc>
          <w:tcPr>
            <w:tcW w:w="1257" w:type="dxa"/>
            <w:tcBorders>
              <w:top w:val="single" w:sz="4" w:space="0" w:color="auto"/>
              <w:left w:val="nil"/>
              <w:bottom w:val="single" w:sz="4" w:space="0" w:color="auto"/>
              <w:right w:val="single" w:sz="4" w:space="0" w:color="auto"/>
            </w:tcBorders>
            <w:shd w:val="clear" w:color="auto" w:fill="FFC000"/>
            <w:vAlign w:val="center"/>
            <w:hideMark/>
          </w:tcPr>
          <w:p w14:paraId="15D1B812" w14:textId="77777777" w:rsidR="001B223A" w:rsidRPr="001B223A" w:rsidRDefault="001B223A" w:rsidP="001B17AA">
            <w:pPr>
              <w:jc w:val="center"/>
              <w:rPr>
                <w:rFonts w:ascii="Calibri" w:hAnsi="Calibri" w:cs="Calibri"/>
                <w:b/>
                <w:bCs/>
                <w:color w:val="000000"/>
                <w:sz w:val="22"/>
                <w:szCs w:val="22"/>
              </w:rPr>
            </w:pPr>
            <w:r w:rsidRPr="001B223A">
              <w:rPr>
                <w:rFonts w:ascii="Calibri" w:hAnsi="Calibri" w:cs="Calibri"/>
                <w:b/>
                <w:bCs/>
                <w:color w:val="000000"/>
                <w:sz w:val="22"/>
                <w:szCs w:val="22"/>
              </w:rPr>
              <w:t>31-déc-22</w:t>
            </w:r>
          </w:p>
        </w:tc>
        <w:tc>
          <w:tcPr>
            <w:tcW w:w="1276" w:type="dxa"/>
            <w:tcBorders>
              <w:top w:val="single" w:sz="4" w:space="0" w:color="auto"/>
              <w:left w:val="nil"/>
              <w:bottom w:val="single" w:sz="4" w:space="0" w:color="auto"/>
              <w:right w:val="single" w:sz="4" w:space="0" w:color="auto"/>
            </w:tcBorders>
            <w:shd w:val="clear" w:color="auto" w:fill="FFC000"/>
            <w:vAlign w:val="center"/>
            <w:hideMark/>
          </w:tcPr>
          <w:p w14:paraId="298F34A7" w14:textId="77777777" w:rsidR="001B223A" w:rsidRPr="001B223A" w:rsidRDefault="001B223A" w:rsidP="001B17AA">
            <w:pPr>
              <w:jc w:val="center"/>
              <w:rPr>
                <w:rFonts w:ascii="Calibri" w:hAnsi="Calibri" w:cs="Calibri"/>
                <w:b/>
                <w:bCs/>
                <w:color w:val="000000"/>
                <w:sz w:val="22"/>
                <w:szCs w:val="22"/>
              </w:rPr>
            </w:pPr>
            <w:r w:rsidRPr="001B223A">
              <w:rPr>
                <w:rFonts w:ascii="Calibri" w:hAnsi="Calibri" w:cs="Calibri"/>
                <w:b/>
                <w:bCs/>
                <w:color w:val="000000"/>
                <w:sz w:val="22"/>
                <w:szCs w:val="22"/>
              </w:rPr>
              <w:t>31-déc-23</w:t>
            </w:r>
          </w:p>
        </w:tc>
        <w:tc>
          <w:tcPr>
            <w:tcW w:w="1275" w:type="dxa"/>
            <w:tcBorders>
              <w:top w:val="single" w:sz="4" w:space="0" w:color="auto"/>
              <w:left w:val="nil"/>
              <w:bottom w:val="single" w:sz="4" w:space="0" w:color="auto"/>
              <w:right w:val="single" w:sz="4" w:space="0" w:color="auto"/>
            </w:tcBorders>
            <w:shd w:val="clear" w:color="auto" w:fill="FFC000"/>
            <w:vAlign w:val="center"/>
            <w:hideMark/>
          </w:tcPr>
          <w:p w14:paraId="75E3A14A" w14:textId="77777777" w:rsidR="001B223A" w:rsidRPr="001B223A" w:rsidRDefault="001B223A" w:rsidP="001B17AA">
            <w:pPr>
              <w:jc w:val="center"/>
              <w:rPr>
                <w:rFonts w:ascii="Calibri" w:hAnsi="Calibri" w:cs="Calibri"/>
                <w:b/>
                <w:bCs/>
                <w:color w:val="000000"/>
                <w:sz w:val="22"/>
                <w:szCs w:val="22"/>
              </w:rPr>
            </w:pPr>
            <w:r w:rsidRPr="001B223A">
              <w:rPr>
                <w:rFonts w:ascii="Calibri" w:hAnsi="Calibri" w:cs="Calibri"/>
                <w:b/>
                <w:bCs/>
                <w:color w:val="000000"/>
                <w:sz w:val="22"/>
                <w:szCs w:val="22"/>
              </w:rPr>
              <w:t>31-déc-24</w:t>
            </w:r>
          </w:p>
        </w:tc>
      </w:tr>
      <w:tr w:rsidR="001B223A" w:rsidRPr="001B223A" w14:paraId="762C1058" w14:textId="77777777" w:rsidTr="001B17A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3F756855" w14:textId="77777777" w:rsidR="001B223A" w:rsidRPr="001B223A" w:rsidRDefault="001B223A" w:rsidP="001B17AA">
            <w:pPr>
              <w:rPr>
                <w:rFonts w:ascii="Calibri" w:hAnsi="Calibri" w:cs="Calibri"/>
                <w:b/>
                <w:bCs/>
                <w:color w:val="000000"/>
                <w:sz w:val="22"/>
                <w:szCs w:val="22"/>
              </w:rPr>
            </w:pPr>
            <w:r w:rsidRPr="001B223A">
              <w:rPr>
                <w:rFonts w:ascii="Calibri" w:hAnsi="Calibri" w:cs="Calibri"/>
                <w:b/>
                <w:bCs/>
                <w:color w:val="000000"/>
                <w:sz w:val="22"/>
                <w:szCs w:val="22"/>
              </w:rPr>
              <w:t>Chiffre d'affaires total</w:t>
            </w:r>
          </w:p>
        </w:tc>
        <w:tc>
          <w:tcPr>
            <w:tcW w:w="1257" w:type="dxa"/>
            <w:tcBorders>
              <w:top w:val="nil"/>
              <w:left w:val="nil"/>
              <w:bottom w:val="single" w:sz="4" w:space="0" w:color="auto"/>
              <w:right w:val="single" w:sz="4" w:space="0" w:color="auto"/>
            </w:tcBorders>
            <w:vAlign w:val="center"/>
            <w:hideMark/>
          </w:tcPr>
          <w:p w14:paraId="163062D8"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63 694 €</w:t>
            </w:r>
          </w:p>
        </w:tc>
        <w:tc>
          <w:tcPr>
            <w:tcW w:w="1276" w:type="dxa"/>
            <w:tcBorders>
              <w:top w:val="nil"/>
              <w:left w:val="nil"/>
              <w:bottom w:val="single" w:sz="4" w:space="0" w:color="auto"/>
              <w:right w:val="single" w:sz="4" w:space="0" w:color="auto"/>
            </w:tcBorders>
            <w:vAlign w:val="center"/>
            <w:hideMark/>
          </w:tcPr>
          <w:p w14:paraId="594CA367"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28 219 €</w:t>
            </w:r>
          </w:p>
        </w:tc>
        <w:tc>
          <w:tcPr>
            <w:tcW w:w="1275" w:type="dxa"/>
            <w:tcBorders>
              <w:top w:val="nil"/>
              <w:left w:val="nil"/>
              <w:bottom w:val="single" w:sz="4" w:space="0" w:color="auto"/>
              <w:right w:val="single" w:sz="4" w:space="0" w:color="auto"/>
            </w:tcBorders>
            <w:vAlign w:val="center"/>
            <w:hideMark/>
          </w:tcPr>
          <w:p w14:paraId="6C258354"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27 360 €</w:t>
            </w:r>
          </w:p>
        </w:tc>
      </w:tr>
      <w:tr w:rsidR="001B223A" w:rsidRPr="001B223A" w14:paraId="2E3C1C99" w14:textId="77777777" w:rsidTr="001B17A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137BF04A" w14:textId="77777777" w:rsidR="001B223A" w:rsidRPr="001B223A" w:rsidRDefault="001B223A" w:rsidP="001B17AA">
            <w:pPr>
              <w:rPr>
                <w:rFonts w:ascii="Calibri" w:hAnsi="Calibri" w:cs="Calibri"/>
                <w:b/>
                <w:bCs/>
                <w:i/>
                <w:iCs/>
                <w:color w:val="000000"/>
                <w:sz w:val="22"/>
                <w:szCs w:val="22"/>
              </w:rPr>
            </w:pPr>
            <w:r w:rsidRPr="001B223A">
              <w:rPr>
                <w:rFonts w:ascii="Calibri" w:hAnsi="Calibri" w:cs="Calibri"/>
                <w:b/>
                <w:bCs/>
                <w:i/>
                <w:iCs/>
                <w:color w:val="000000"/>
                <w:sz w:val="22"/>
                <w:szCs w:val="22"/>
              </w:rPr>
              <w:t>% de variation du chiffre d'affaires</w:t>
            </w:r>
          </w:p>
        </w:tc>
        <w:tc>
          <w:tcPr>
            <w:tcW w:w="1257" w:type="dxa"/>
            <w:tcBorders>
              <w:top w:val="nil"/>
              <w:left w:val="nil"/>
              <w:bottom w:val="single" w:sz="4" w:space="0" w:color="auto"/>
              <w:right w:val="single" w:sz="4" w:space="0" w:color="auto"/>
            </w:tcBorders>
            <w:vAlign w:val="center"/>
            <w:hideMark/>
          </w:tcPr>
          <w:p w14:paraId="14BE0527" w14:textId="77777777" w:rsidR="001B223A" w:rsidRPr="001B223A" w:rsidRDefault="001B223A" w:rsidP="001B17AA">
            <w:pPr>
              <w:jc w:val="center"/>
              <w:rPr>
                <w:rFonts w:ascii="Calibri" w:hAnsi="Calibri" w:cs="Calibri"/>
                <w:i/>
                <w:iCs/>
                <w:color w:val="000000"/>
                <w:sz w:val="22"/>
                <w:szCs w:val="22"/>
              </w:rPr>
            </w:pPr>
            <w:r w:rsidRPr="001B223A">
              <w:rPr>
                <w:rFonts w:ascii="Calibri" w:hAnsi="Calibri" w:cs="Calibri"/>
                <w:i/>
                <w:iCs/>
                <w:color w:val="000000"/>
                <w:sz w:val="22"/>
                <w:szCs w:val="22"/>
              </w:rPr>
              <w:t>-</w:t>
            </w:r>
          </w:p>
        </w:tc>
        <w:tc>
          <w:tcPr>
            <w:tcW w:w="1276" w:type="dxa"/>
            <w:tcBorders>
              <w:top w:val="nil"/>
              <w:left w:val="nil"/>
              <w:bottom w:val="single" w:sz="4" w:space="0" w:color="auto"/>
              <w:right w:val="single" w:sz="4" w:space="0" w:color="auto"/>
            </w:tcBorders>
            <w:vAlign w:val="center"/>
            <w:hideMark/>
          </w:tcPr>
          <w:p w14:paraId="58D85A78" w14:textId="77777777" w:rsidR="001B223A" w:rsidRPr="001B223A" w:rsidRDefault="001B223A" w:rsidP="001B17AA">
            <w:pPr>
              <w:jc w:val="center"/>
              <w:rPr>
                <w:rFonts w:ascii="Calibri" w:hAnsi="Calibri" w:cs="Calibri"/>
                <w:i/>
                <w:iCs/>
                <w:color w:val="000000"/>
                <w:sz w:val="22"/>
                <w:szCs w:val="22"/>
              </w:rPr>
            </w:pPr>
            <w:r w:rsidRPr="001B223A">
              <w:rPr>
                <w:rFonts w:ascii="Calibri" w:hAnsi="Calibri" w:cs="Calibri"/>
                <w:i/>
                <w:iCs/>
                <w:color w:val="000000"/>
                <w:sz w:val="22"/>
                <w:szCs w:val="22"/>
              </w:rPr>
              <w:t>-125,71%</w:t>
            </w:r>
          </w:p>
        </w:tc>
        <w:tc>
          <w:tcPr>
            <w:tcW w:w="1275" w:type="dxa"/>
            <w:tcBorders>
              <w:top w:val="nil"/>
              <w:left w:val="nil"/>
              <w:bottom w:val="single" w:sz="4" w:space="0" w:color="auto"/>
              <w:right w:val="single" w:sz="4" w:space="0" w:color="auto"/>
            </w:tcBorders>
            <w:vAlign w:val="center"/>
            <w:hideMark/>
          </w:tcPr>
          <w:p w14:paraId="7F139B5C" w14:textId="77777777" w:rsidR="001B223A" w:rsidRPr="001B223A" w:rsidRDefault="001B223A" w:rsidP="001B17AA">
            <w:pPr>
              <w:jc w:val="center"/>
              <w:rPr>
                <w:rFonts w:ascii="Calibri" w:hAnsi="Calibri" w:cs="Calibri"/>
                <w:i/>
                <w:iCs/>
                <w:color w:val="000000"/>
                <w:sz w:val="22"/>
                <w:szCs w:val="22"/>
              </w:rPr>
            </w:pPr>
            <w:r w:rsidRPr="001B223A">
              <w:rPr>
                <w:rFonts w:ascii="Calibri" w:hAnsi="Calibri" w:cs="Calibri"/>
                <w:i/>
                <w:iCs/>
                <w:color w:val="000000"/>
                <w:sz w:val="22"/>
                <w:szCs w:val="22"/>
              </w:rPr>
              <w:t>-3,14%</w:t>
            </w:r>
          </w:p>
        </w:tc>
      </w:tr>
      <w:tr w:rsidR="001B223A" w:rsidRPr="001B223A" w14:paraId="27001B2C" w14:textId="77777777" w:rsidTr="001B17A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5321DCF1" w14:textId="77777777" w:rsidR="001B223A" w:rsidRPr="001B223A" w:rsidRDefault="001B223A" w:rsidP="001B17AA">
            <w:pPr>
              <w:rPr>
                <w:rFonts w:ascii="Calibri" w:hAnsi="Calibri" w:cs="Calibri"/>
                <w:b/>
                <w:bCs/>
                <w:color w:val="000000"/>
                <w:sz w:val="22"/>
                <w:szCs w:val="22"/>
              </w:rPr>
            </w:pPr>
            <w:r w:rsidRPr="001B223A">
              <w:rPr>
                <w:rFonts w:ascii="Calibri" w:hAnsi="Calibri" w:cs="Calibri"/>
                <w:b/>
                <w:bCs/>
                <w:color w:val="000000"/>
                <w:sz w:val="22"/>
                <w:szCs w:val="22"/>
              </w:rPr>
              <w:t>Résultat d'exploitation</w:t>
            </w:r>
          </w:p>
        </w:tc>
        <w:tc>
          <w:tcPr>
            <w:tcW w:w="1257" w:type="dxa"/>
            <w:tcBorders>
              <w:top w:val="nil"/>
              <w:left w:val="nil"/>
              <w:bottom w:val="single" w:sz="4" w:space="0" w:color="auto"/>
              <w:right w:val="single" w:sz="4" w:space="0" w:color="auto"/>
            </w:tcBorders>
            <w:vAlign w:val="center"/>
            <w:hideMark/>
          </w:tcPr>
          <w:p w14:paraId="5525EEB4"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35 798 €</w:t>
            </w:r>
          </w:p>
        </w:tc>
        <w:tc>
          <w:tcPr>
            <w:tcW w:w="1276" w:type="dxa"/>
            <w:tcBorders>
              <w:top w:val="nil"/>
              <w:left w:val="nil"/>
              <w:bottom w:val="single" w:sz="4" w:space="0" w:color="auto"/>
              <w:right w:val="single" w:sz="4" w:space="0" w:color="auto"/>
            </w:tcBorders>
            <w:vAlign w:val="center"/>
            <w:hideMark/>
          </w:tcPr>
          <w:p w14:paraId="2B435179"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5 743 €</w:t>
            </w:r>
          </w:p>
        </w:tc>
        <w:tc>
          <w:tcPr>
            <w:tcW w:w="1275" w:type="dxa"/>
            <w:tcBorders>
              <w:top w:val="nil"/>
              <w:left w:val="nil"/>
              <w:bottom w:val="single" w:sz="4" w:space="0" w:color="auto"/>
              <w:right w:val="single" w:sz="4" w:space="0" w:color="auto"/>
            </w:tcBorders>
            <w:vAlign w:val="center"/>
            <w:hideMark/>
          </w:tcPr>
          <w:p w14:paraId="50995FE1"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-3 631 €</w:t>
            </w:r>
          </w:p>
        </w:tc>
      </w:tr>
      <w:tr w:rsidR="001B223A" w:rsidRPr="001B223A" w14:paraId="7B4AB1C9" w14:textId="77777777" w:rsidTr="001B17A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4A1F380E" w14:textId="77777777" w:rsidR="001B223A" w:rsidRPr="001B223A" w:rsidRDefault="001B223A" w:rsidP="001B17AA">
            <w:pPr>
              <w:rPr>
                <w:rFonts w:ascii="Calibri" w:hAnsi="Calibri" w:cs="Calibri"/>
                <w:b/>
                <w:bCs/>
                <w:color w:val="000000"/>
                <w:sz w:val="22"/>
                <w:szCs w:val="22"/>
              </w:rPr>
            </w:pPr>
            <w:r w:rsidRPr="001B223A">
              <w:rPr>
                <w:rFonts w:ascii="Calibri" w:hAnsi="Calibri" w:cs="Calibri"/>
                <w:b/>
                <w:bCs/>
                <w:color w:val="000000"/>
                <w:sz w:val="22"/>
                <w:szCs w:val="22"/>
              </w:rPr>
              <w:t>Résultat net</w:t>
            </w:r>
          </w:p>
        </w:tc>
        <w:tc>
          <w:tcPr>
            <w:tcW w:w="1257" w:type="dxa"/>
            <w:tcBorders>
              <w:top w:val="nil"/>
              <w:left w:val="nil"/>
              <w:bottom w:val="single" w:sz="4" w:space="0" w:color="auto"/>
              <w:right w:val="single" w:sz="4" w:space="0" w:color="auto"/>
            </w:tcBorders>
            <w:vAlign w:val="center"/>
            <w:hideMark/>
          </w:tcPr>
          <w:p w14:paraId="2AB65F75"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30 786 €</w:t>
            </w:r>
          </w:p>
        </w:tc>
        <w:tc>
          <w:tcPr>
            <w:tcW w:w="1276" w:type="dxa"/>
            <w:tcBorders>
              <w:top w:val="nil"/>
              <w:left w:val="nil"/>
              <w:bottom w:val="single" w:sz="4" w:space="0" w:color="auto"/>
              <w:right w:val="single" w:sz="4" w:space="0" w:color="auto"/>
            </w:tcBorders>
            <w:vAlign w:val="center"/>
            <w:hideMark/>
          </w:tcPr>
          <w:p w14:paraId="3178D456"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2 174 €</w:t>
            </w:r>
          </w:p>
        </w:tc>
        <w:tc>
          <w:tcPr>
            <w:tcW w:w="1275" w:type="dxa"/>
            <w:tcBorders>
              <w:top w:val="nil"/>
              <w:left w:val="nil"/>
              <w:bottom w:val="single" w:sz="4" w:space="0" w:color="auto"/>
              <w:right w:val="single" w:sz="4" w:space="0" w:color="auto"/>
            </w:tcBorders>
            <w:vAlign w:val="center"/>
            <w:hideMark/>
          </w:tcPr>
          <w:p w14:paraId="0376B000" w14:textId="77777777" w:rsidR="001B223A" w:rsidRPr="001B223A" w:rsidRDefault="001B223A" w:rsidP="001B17AA">
            <w:pPr>
              <w:jc w:val="center"/>
              <w:rPr>
                <w:rFonts w:ascii="Calibri" w:hAnsi="Calibri" w:cs="Calibri"/>
                <w:color w:val="000000"/>
                <w:sz w:val="22"/>
                <w:szCs w:val="22"/>
              </w:rPr>
            </w:pPr>
            <w:r w:rsidRPr="001B223A">
              <w:rPr>
                <w:rFonts w:ascii="Calibri" w:hAnsi="Calibri" w:cs="Calibri"/>
                <w:color w:val="000000"/>
                <w:sz w:val="22"/>
                <w:szCs w:val="22"/>
              </w:rPr>
              <w:t>-5 823 €</w:t>
            </w:r>
          </w:p>
        </w:tc>
      </w:tr>
    </w:tbl>
    <w:p w14:paraId="1FCCE599" w14:textId="77777777" w:rsidR="00262F59" w:rsidRDefault="00262F59" w:rsidP="00262F59">
      <w:pPr>
        <w:spacing w:line="259" w:lineRule="auto"/>
        <w:rPr>
          <w:rFonts w:ascii="Calibri" w:hAnsi="Calibri" w:cs="Calibri"/>
          <w:bCs/>
          <w:sz w:val="22"/>
          <w:szCs w:val="22"/>
        </w:rPr>
      </w:pPr>
    </w:p>
    <w:p w14:paraId="3208C367" w14:textId="4564F7F4" w:rsidR="00A838E5" w:rsidRDefault="00A838E5" w:rsidP="00262F59">
      <w:pPr>
        <w:spacing w:line="259" w:lineRule="auto"/>
        <w:rPr>
          <w:rFonts w:ascii="Calibri" w:hAnsi="Calibri" w:cs="Calibri"/>
          <w:bCs/>
          <w:sz w:val="22"/>
          <w:szCs w:val="22"/>
        </w:rPr>
      </w:pPr>
      <w:r>
        <w:rPr>
          <w:rFonts w:ascii="Calibri" w:hAnsi="Calibri" w:cs="Calibri"/>
          <w:bCs/>
          <w:sz w:val="22"/>
          <w:szCs w:val="22"/>
        </w:rPr>
        <w:t xml:space="preserve">Les comptes sociaux arrêtés au 31 décembre 2024 figurent en </w:t>
      </w:r>
      <w:r w:rsidRPr="00A838E5">
        <w:rPr>
          <w:rFonts w:ascii="Calibri" w:hAnsi="Calibri" w:cs="Calibri"/>
          <w:b/>
          <w:i/>
          <w:iCs/>
          <w:sz w:val="22"/>
          <w:szCs w:val="22"/>
          <w:u w:val="single"/>
        </w:rPr>
        <w:t>Annexe 1</w:t>
      </w:r>
      <w:r>
        <w:rPr>
          <w:rFonts w:ascii="Calibri" w:hAnsi="Calibri" w:cs="Calibri"/>
          <w:bCs/>
          <w:sz w:val="22"/>
          <w:szCs w:val="22"/>
        </w:rPr>
        <w:t xml:space="preserve">. </w:t>
      </w:r>
    </w:p>
    <w:p w14:paraId="69A7CC50" w14:textId="77777777" w:rsidR="00A838E5" w:rsidRPr="00262F59" w:rsidRDefault="00A838E5" w:rsidP="00262F59">
      <w:pPr>
        <w:spacing w:line="259" w:lineRule="auto"/>
        <w:rPr>
          <w:rFonts w:ascii="Calibri" w:hAnsi="Calibri" w:cs="Calibri"/>
          <w:bCs/>
          <w:sz w:val="22"/>
          <w:szCs w:val="22"/>
        </w:rPr>
      </w:pPr>
    </w:p>
    <w:p w14:paraId="1F477AD6" w14:textId="2634E70A" w:rsidR="00284999" w:rsidRPr="00284999" w:rsidRDefault="00284999"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29" w:name="_Toc204944190"/>
      <w:bookmarkStart w:id="30" w:name="_Toc222908292"/>
      <w:r w:rsidRPr="00284999">
        <w:rPr>
          <w:rFonts w:ascii="Calibri" w:hAnsi="Calibri" w:cs="Calibri"/>
          <w:b/>
          <w:sz w:val="22"/>
          <w:szCs w:val="22"/>
        </w:rPr>
        <w:t>EFFECTIF</w:t>
      </w:r>
      <w:bookmarkEnd w:id="29"/>
      <w:bookmarkEnd w:id="30"/>
    </w:p>
    <w:p w14:paraId="3D7A36B2" w14:textId="674D65CE" w:rsidR="00906186" w:rsidRPr="00284999" w:rsidRDefault="00906186" w:rsidP="00C11DED">
      <w:pPr>
        <w:pStyle w:val="2MAJ-adresse"/>
      </w:pPr>
    </w:p>
    <w:p w14:paraId="3A7B25F1" w14:textId="7FB55A9C" w:rsidR="003A0145" w:rsidRPr="003A0145" w:rsidRDefault="00284999" w:rsidP="00DC23FD">
      <w:pPr>
        <w:jc w:val="both"/>
        <w:rPr>
          <w:rFonts w:ascii="Calibri" w:hAnsi="Calibri" w:cs="Calibri"/>
          <w:sz w:val="22"/>
          <w:szCs w:val="22"/>
        </w:rPr>
      </w:pPr>
      <w:r>
        <w:rPr>
          <w:rFonts w:ascii="Calibri" w:hAnsi="Calibri" w:cs="Calibri"/>
          <w:sz w:val="22"/>
          <w:szCs w:val="22"/>
        </w:rPr>
        <w:t>La Société n’emploie pas de salariés.</w:t>
      </w:r>
    </w:p>
    <w:p w14:paraId="6F6C3440" w14:textId="77777777" w:rsidR="009B5B6B" w:rsidRDefault="009B5B6B" w:rsidP="009B5B6B">
      <w:pPr>
        <w:spacing w:line="259" w:lineRule="auto"/>
        <w:rPr>
          <w:rFonts w:ascii="Calibri" w:hAnsi="Calibri" w:cs="Calibri"/>
          <w:sz w:val="22"/>
          <w:szCs w:val="22"/>
        </w:rPr>
      </w:pPr>
    </w:p>
    <w:p w14:paraId="362A3E79" w14:textId="77777777" w:rsidR="00926EC4" w:rsidRPr="009C7EC2" w:rsidRDefault="00926EC4"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31" w:name="_Toc204944191"/>
      <w:bookmarkStart w:id="32" w:name="_Toc222908293"/>
      <w:r w:rsidRPr="00926EC4">
        <w:rPr>
          <w:rFonts w:ascii="Calibri" w:hAnsi="Calibri" w:cs="Calibri"/>
          <w:b/>
          <w:sz w:val="22"/>
          <w:szCs w:val="22"/>
        </w:rPr>
        <w:t>DETAIL DU PASSIF A APURER DANS LE CADRE DU PLAN DE REDRESSEMENT</w:t>
      </w:r>
      <w:bookmarkStart w:id="33" w:name="_Toc65856314"/>
      <w:bookmarkEnd w:id="31"/>
      <w:bookmarkEnd w:id="32"/>
    </w:p>
    <w:p w14:paraId="34EDA84A" w14:textId="77777777" w:rsidR="00524C58" w:rsidRPr="00783F58" w:rsidRDefault="00524C58" w:rsidP="00B132A0">
      <w:pPr>
        <w:pStyle w:val="Paragraphedeliste"/>
        <w:numPr>
          <w:ilvl w:val="12"/>
          <w:numId w:val="5"/>
        </w:numPr>
        <w:overflowPunct w:val="0"/>
        <w:autoSpaceDE w:val="0"/>
        <w:autoSpaceDN w:val="0"/>
        <w:adjustRightInd w:val="0"/>
        <w:ind w:left="0"/>
        <w:jc w:val="both"/>
        <w:textAlignment w:val="baseline"/>
        <w:rPr>
          <w:rFonts w:cs="Calibri"/>
          <w:szCs w:val="22"/>
        </w:rPr>
      </w:pPr>
    </w:p>
    <w:p w14:paraId="363ED0DB" w14:textId="4725DC88" w:rsidR="009C7EC2" w:rsidRPr="009C7EC2" w:rsidRDefault="009C7EC2" w:rsidP="009C7EC2">
      <w:pPr>
        <w:rPr>
          <w:rFonts w:ascii="Calibri" w:hAnsi="Calibri" w:cs="Calibri"/>
          <w:sz w:val="22"/>
          <w:szCs w:val="22"/>
        </w:rPr>
      </w:pPr>
      <w:bookmarkStart w:id="34" w:name="_Hlk209521734"/>
      <w:bookmarkEnd w:id="33"/>
      <w:r w:rsidRPr="009C7EC2">
        <w:rPr>
          <w:rFonts w:ascii="Calibri" w:hAnsi="Calibri" w:cs="Calibri"/>
          <w:sz w:val="22"/>
          <w:szCs w:val="22"/>
        </w:rPr>
        <w:t xml:space="preserve">Le jugement d’ouverture a été publié au BODACC le </w:t>
      </w:r>
      <w:r w:rsidR="00FD1620">
        <w:rPr>
          <w:rFonts w:ascii="Calibri" w:eastAsia="Calibri" w:hAnsi="Calibri" w:cs="Calibri"/>
          <w:sz w:val="22"/>
          <w:szCs w:val="22"/>
          <w:lang w:eastAsia="en-US" w:bidi="fr-FR"/>
        </w:rPr>
        <w:t>2 juin</w:t>
      </w:r>
      <w:r w:rsidRPr="009C7EC2">
        <w:rPr>
          <w:rFonts w:ascii="Calibri" w:eastAsia="Calibri" w:hAnsi="Calibri" w:cs="Calibri"/>
          <w:sz w:val="22"/>
          <w:szCs w:val="22"/>
          <w:lang w:eastAsia="en-US" w:bidi="fr-FR"/>
        </w:rPr>
        <w:t xml:space="preserve"> 2025</w:t>
      </w:r>
      <w:r w:rsidRPr="009C7EC2">
        <w:rPr>
          <w:rFonts w:ascii="Calibri" w:hAnsi="Calibri" w:cs="Calibri"/>
          <w:sz w:val="22"/>
          <w:szCs w:val="22"/>
        </w:rPr>
        <w:t xml:space="preserve">. </w:t>
      </w:r>
    </w:p>
    <w:p w14:paraId="22DF2E5D" w14:textId="77777777" w:rsidR="009C7EC2" w:rsidRPr="009C7EC2" w:rsidRDefault="009C7EC2" w:rsidP="009C7EC2">
      <w:pPr>
        <w:rPr>
          <w:rFonts w:ascii="Calibri" w:hAnsi="Calibri" w:cs="Calibri"/>
          <w:sz w:val="22"/>
          <w:szCs w:val="22"/>
        </w:rPr>
      </w:pPr>
    </w:p>
    <w:p w14:paraId="6702603A" w14:textId="04FB19B5" w:rsidR="009C7EC2" w:rsidRPr="009C7EC2" w:rsidRDefault="009C7EC2" w:rsidP="00127665">
      <w:pPr>
        <w:jc w:val="both"/>
        <w:rPr>
          <w:rFonts w:ascii="Calibri" w:hAnsi="Calibri" w:cs="Calibri"/>
          <w:sz w:val="22"/>
          <w:szCs w:val="22"/>
        </w:rPr>
      </w:pPr>
      <w:r w:rsidRPr="009C7EC2">
        <w:rPr>
          <w:rFonts w:ascii="Calibri" w:hAnsi="Calibri" w:cs="Calibri"/>
          <w:sz w:val="22"/>
          <w:szCs w:val="22"/>
        </w:rPr>
        <w:t xml:space="preserve">Par conséquent, le délai de déclaration des créances a expiré le </w:t>
      </w:r>
      <w:r w:rsidR="00FD1620">
        <w:rPr>
          <w:rFonts w:ascii="Calibri" w:hAnsi="Calibri" w:cs="Calibri"/>
          <w:sz w:val="22"/>
          <w:szCs w:val="22"/>
        </w:rPr>
        <w:t>2 août</w:t>
      </w:r>
      <w:r w:rsidRPr="009C7EC2">
        <w:rPr>
          <w:rFonts w:ascii="Calibri" w:hAnsi="Calibri" w:cs="Calibri"/>
          <w:sz w:val="22"/>
          <w:szCs w:val="22"/>
        </w:rPr>
        <w:t xml:space="preserve"> 2025 pour les créanciers français et le </w:t>
      </w:r>
      <w:r w:rsidR="00FD1620">
        <w:rPr>
          <w:rFonts w:ascii="Calibri" w:hAnsi="Calibri" w:cs="Calibri"/>
          <w:sz w:val="22"/>
          <w:szCs w:val="22"/>
        </w:rPr>
        <w:t>2 octobre</w:t>
      </w:r>
      <w:r w:rsidRPr="009C7EC2">
        <w:rPr>
          <w:rFonts w:ascii="Calibri" w:hAnsi="Calibri" w:cs="Calibri"/>
          <w:sz w:val="22"/>
          <w:szCs w:val="22"/>
        </w:rPr>
        <w:t xml:space="preserve"> 2025 pour les créanciers étrangers et situés dans les DROM TOM.</w:t>
      </w:r>
    </w:p>
    <w:p w14:paraId="51EFCCF7" w14:textId="77777777" w:rsidR="009C7EC2" w:rsidRDefault="009C7EC2" w:rsidP="00AA5855">
      <w:pPr>
        <w:jc w:val="both"/>
        <w:rPr>
          <w:rFonts w:ascii="Calibri" w:hAnsi="Calibri" w:cs="Calibri"/>
          <w:sz w:val="22"/>
          <w:szCs w:val="22"/>
        </w:rPr>
      </w:pPr>
    </w:p>
    <w:p w14:paraId="7B75427D" w14:textId="10C16D63" w:rsidR="00140792" w:rsidRDefault="00140792" w:rsidP="00140792">
      <w:pPr>
        <w:jc w:val="both"/>
        <w:rPr>
          <w:rFonts w:ascii="Calibri" w:hAnsi="Calibri" w:cs="Calibri"/>
          <w:sz w:val="22"/>
          <w:szCs w:val="22"/>
        </w:rPr>
      </w:pPr>
      <w:r w:rsidRPr="00140792">
        <w:rPr>
          <w:rFonts w:ascii="Calibri" w:hAnsi="Calibri" w:cs="Calibri"/>
          <w:sz w:val="22"/>
          <w:szCs w:val="22"/>
        </w:rPr>
        <w:t>Au 2</w:t>
      </w:r>
      <w:r w:rsidR="00707120">
        <w:rPr>
          <w:rFonts w:ascii="Calibri" w:hAnsi="Calibri" w:cs="Calibri"/>
          <w:sz w:val="22"/>
          <w:szCs w:val="22"/>
        </w:rPr>
        <w:t>6</w:t>
      </w:r>
      <w:r w:rsidRPr="00140792">
        <w:rPr>
          <w:rFonts w:ascii="Calibri" w:hAnsi="Calibri" w:cs="Calibri"/>
          <w:sz w:val="22"/>
          <w:szCs w:val="22"/>
        </w:rPr>
        <w:t xml:space="preserve"> janvier 2026</w:t>
      </w:r>
      <w:r>
        <w:rPr>
          <w:rFonts w:ascii="Calibri" w:hAnsi="Calibri" w:cs="Calibri"/>
          <w:sz w:val="22"/>
          <w:szCs w:val="22"/>
        </w:rPr>
        <w:t xml:space="preserve"> (délais expirés)</w:t>
      </w:r>
      <w:r w:rsidRPr="00140792">
        <w:rPr>
          <w:rFonts w:ascii="Calibri" w:hAnsi="Calibri" w:cs="Calibri"/>
          <w:sz w:val="22"/>
          <w:szCs w:val="22"/>
        </w:rPr>
        <w:t xml:space="preserve">, le passif déclaré entre les mains du mandataire judiciaire s’élève à </w:t>
      </w:r>
      <w:r w:rsidR="001B1551" w:rsidRPr="001B1551">
        <w:rPr>
          <w:rFonts w:ascii="Calibri" w:hAnsi="Calibri" w:cs="Calibri"/>
          <w:b/>
          <w:bCs/>
          <w:sz w:val="22"/>
          <w:szCs w:val="22"/>
        </w:rPr>
        <w:t>175 987</w:t>
      </w:r>
      <w:r w:rsidRPr="00140792">
        <w:rPr>
          <w:rFonts w:ascii="Calibri" w:hAnsi="Calibri" w:cs="Calibri"/>
          <w:b/>
          <w:bCs/>
          <w:sz w:val="22"/>
          <w:szCs w:val="22"/>
        </w:rPr>
        <w:t xml:space="preserve"> € </w:t>
      </w:r>
      <w:r w:rsidRPr="00140792">
        <w:rPr>
          <w:rFonts w:ascii="Calibri" w:hAnsi="Calibri" w:cs="Calibri"/>
          <w:sz w:val="22"/>
          <w:szCs w:val="22"/>
        </w:rPr>
        <w:t>et se décompose comme suit :</w:t>
      </w:r>
    </w:p>
    <w:p w14:paraId="5C2474DD" w14:textId="77777777" w:rsidR="00095E19" w:rsidRDefault="00095E19" w:rsidP="00140792">
      <w:pPr>
        <w:jc w:val="both"/>
        <w:rPr>
          <w:rFonts w:ascii="Calibri" w:hAnsi="Calibri" w:cs="Calibri"/>
          <w:sz w:val="22"/>
          <w:szCs w:val="22"/>
        </w:rPr>
      </w:pPr>
    </w:p>
    <w:tbl>
      <w:tblPr>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1369"/>
        <w:gridCol w:w="1560"/>
      </w:tblGrid>
      <w:tr w:rsidR="00095E19" w:rsidRPr="00095E19" w14:paraId="036DF3DD" w14:textId="77777777" w:rsidTr="001B17AA">
        <w:trPr>
          <w:trHeight w:val="320"/>
          <w:jc w:val="center"/>
        </w:trPr>
        <w:tc>
          <w:tcPr>
            <w:tcW w:w="2600" w:type="dxa"/>
            <w:tcBorders>
              <w:top w:val="nil"/>
              <w:left w:val="nil"/>
            </w:tcBorders>
            <w:noWrap/>
            <w:vAlign w:val="center"/>
            <w:hideMark/>
          </w:tcPr>
          <w:p w14:paraId="0C8FEF63" w14:textId="77777777" w:rsidR="00095E19" w:rsidRPr="00095E19" w:rsidRDefault="00095E19" w:rsidP="001B17AA">
            <w:pPr>
              <w:jc w:val="center"/>
              <w:rPr>
                <w:rFonts w:ascii="Calibri" w:hAnsi="Calibri" w:cs="Calibri"/>
                <w:color w:val="000000"/>
                <w:sz w:val="22"/>
                <w:szCs w:val="22"/>
              </w:rPr>
            </w:pPr>
            <w:r w:rsidRPr="00095E19">
              <w:rPr>
                <w:rFonts w:ascii="Calibri" w:hAnsi="Calibri" w:cs="Calibri"/>
                <w:color w:val="000000"/>
                <w:sz w:val="22"/>
                <w:szCs w:val="22"/>
              </w:rPr>
              <w:t> </w:t>
            </w:r>
          </w:p>
        </w:tc>
        <w:tc>
          <w:tcPr>
            <w:tcW w:w="1369" w:type="dxa"/>
            <w:shd w:val="clear" w:color="000000" w:fill="FFC000"/>
            <w:vAlign w:val="center"/>
            <w:hideMark/>
          </w:tcPr>
          <w:p w14:paraId="08DF54BA"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Echu</w:t>
            </w:r>
          </w:p>
        </w:tc>
        <w:tc>
          <w:tcPr>
            <w:tcW w:w="1560" w:type="dxa"/>
            <w:shd w:val="clear" w:color="000000" w:fill="FFC000"/>
            <w:vAlign w:val="center"/>
            <w:hideMark/>
          </w:tcPr>
          <w:p w14:paraId="7AC21A0A"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Total</w:t>
            </w:r>
          </w:p>
        </w:tc>
      </w:tr>
      <w:tr w:rsidR="00095E19" w:rsidRPr="00095E19" w14:paraId="18B32FDB" w14:textId="77777777" w:rsidTr="001B17AA">
        <w:trPr>
          <w:trHeight w:val="320"/>
          <w:jc w:val="center"/>
        </w:trPr>
        <w:tc>
          <w:tcPr>
            <w:tcW w:w="2600" w:type="dxa"/>
            <w:shd w:val="clear" w:color="000000" w:fill="FFC000"/>
            <w:vAlign w:val="center"/>
            <w:hideMark/>
          </w:tcPr>
          <w:p w14:paraId="2C310D13"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Privilégié</w:t>
            </w:r>
          </w:p>
        </w:tc>
        <w:tc>
          <w:tcPr>
            <w:tcW w:w="1369" w:type="dxa"/>
            <w:noWrap/>
            <w:vAlign w:val="center"/>
            <w:hideMark/>
          </w:tcPr>
          <w:p w14:paraId="70CF56AF" w14:textId="77777777" w:rsidR="00095E19" w:rsidRPr="00095E19" w:rsidRDefault="00095E19" w:rsidP="001B17AA">
            <w:pPr>
              <w:jc w:val="center"/>
              <w:rPr>
                <w:rFonts w:ascii="Calibri" w:hAnsi="Calibri" w:cs="Calibri"/>
                <w:color w:val="000000"/>
                <w:sz w:val="22"/>
                <w:szCs w:val="22"/>
              </w:rPr>
            </w:pPr>
            <w:r w:rsidRPr="00095E19">
              <w:rPr>
                <w:rFonts w:ascii="Calibri" w:hAnsi="Calibri" w:cs="Calibri"/>
                <w:color w:val="000000"/>
                <w:sz w:val="22"/>
                <w:szCs w:val="22"/>
              </w:rPr>
              <w:t xml:space="preserve">164 793 € </w:t>
            </w:r>
          </w:p>
        </w:tc>
        <w:tc>
          <w:tcPr>
            <w:tcW w:w="1560" w:type="dxa"/>
            <w:noWrap/>
            <w:vAlign w:val="center"/>
            <w:hideMark/>
          </w:tcPr>
          <w:p w14:paraId="5D3D6E09" w14:textId="77777777" w:rsidR="00095E19" w:rsidRPr="00707120" w:rsidRDefault="00095E19" w:rsidP="001B17AA">
            <w:pPr>
              <w:jc w:val="center"/>
              <w:rPr>
                <w:rFonts w:ascii="Calibri" w:hAnsi="Calibri" w:cs="Calibri"/>
                <w:b/>
                <w:bCs/>
                <w:color w:val="000000"/>
                <w:sz w:val="22"/>
                <w:szCs w:val="22"/>
              </w:rPr>
            </w:pPr>
            <w:r w:rsidRPr="00707120">
              <w:rPr>
                <w:rFonts w:ascii="Calibri" w:hAnsi="Calibri" w:cs="Calibri"/>
                <w:b/>
                <w:bCs/>
                <w:color w:val="000000"/>
                <w:sz w:val="22"/>
                <w:szCs w:val="22"/>
              </w:rPr>
              <w:t xml:space="preserve">164 793 € </w:t>
            </w:r>
          </w:p>
        </w:tc>
      </w:tr>
      <w:tr w:rsidR="00095E19" w:rsidRPr="00095E19" w14:paraId="062ED9EC" w14:textId="77777777" w:rsidTr="001B17AA">
        <w:trPr>
          <w:trHeight w:val="320"/>
          <w:jc w:val="center"/>
        </w:trPr>
        <w:tc>
          <w:tcPr>
            <w:tcW w:w="2600" w:type="dxa"/>
            <w:shd w:val="clear" w:color="000000" w:fill="FFC000"/>
            <w:vAlign w:val="center"/>
            <w:hideMark/>
          </w:tcPr>
          <w:p w14:paraId="2D3F9D35"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Chirographaire</w:t>
            </w:r>
          </w:p>
        </w:tc>
        <w:tc>
          <w:tcPr>
            <w:tcW w:w="1369" w:type="dxa"/>
            <w:noWrap/>
            <w:vAlign w:val="center"/>
            <w:hideMark/>
          </w:tcPr>
          <w:p w14:paraId="7C7EBA04" w14:textId="77777777" w:rsidR="00095E19" w:rsidRPr="00095E19" w:rsidRDefault="00095E19" w:rsidP="001B17AA">
            <w:pPr>
              <w:jc w:val="center"/>
              <w:rPr>
                <w:rFonts w:ascii="Calibri" w:hAnsi="Calibri" w:cs="Calibri"/>
                <w:color w:val="000000"/>
                <w:sz w:val="22"/>
                <w:szCs w:val="22"/>
              </w:rPr>
            </w:pPr>
            <w:r w:rsidRPr="00095E19">
              <w:rPr>
                <w:rFonts w:ascii="Calibri" w:hAnsi="Calibri" w:cs="Calibri"/>
                <w:color w:val="000000"/>
                <w:sz w:val="22"/>
                <w:szCs w:val="22"/>
              </w:rPr>
              <w:t xml:space="preserve">11 194 € </w:t>
            </w:r>
          </w:p>
        </w:tc>
        <w:tc>
          <w:tcPr>
            <w:tcW w:w="1560" w:type="dxa"/>
            <w:noWrap/>
            <w:vAlign w:val="center"/>
            <w:hideMark/>
          </w:tcPr>
          <w:p w14:paraId="24B31B66" w14:textId="77777777" w:rsidR="00095E19" w:rsidRPr="00707120" w:rsidRDefault="00095E19" w:rsidP="001B17AA">
            <w:pPr>
              <w:jc w:val="center"/>
              <w:rPr>
                <w:rFonts w:ascii="Calibri" w:hAnsi="Calibri" w:cs="Calibri"/>
                <w:b/>
                <w:bCs/>
                <w:color w:val="000000"/>
                <w:sz w:val="22"/>
                <w:szCs w:val="22"/>
              </w:rPr>
            </w:pPr>
            <w:r w:rsidRPr="00707120">
              <w:rPr>
                <w:rFonts w:ascii="Calibri" w:hAnsi="Calibri" w:cs="Calibri"/>
                <w:b/>
                <w:bCs/>
                <w:color w:val="000000"/>
                <w:sz w:val="22"/>
                <w:szCs w:val="22"/>
              </w:rPr>
              <w:t xml:space="preserve">11 194 € </w:t>
            </w:r>
          </w:p>
        </w:tc>
      </w:tr>
      <w:tr w:rsidR="00095E19" w:rsidRPr="00095E19" w14:paraId="6E0DB793" w14:textId="77777777" w:rsidTr="001B17AA">
        <w:trPr>
          <w:trHeight w:val="320"/>
          <w:jc w:val="center"/>
        </w:trPr>
        <w:tc>
          <w:tcPr>
            <w:tcW w:w="2600" w:type="dxa"/>
            <w:shd w:val="clear" w:color="000000" w:fill="FFC000"/>
            <w:vAlign w:val="center"/>
            <w:hideMark/>
          </w:tcPr>
          <w:p w14:paraId="4E6AD93F"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TOTAL</w:t>
            </w:r>
          </w:p>
        </w:tc>
        <w:tc>
          <w:tcPr>
            <w:tcW w:w="1369" w:type="dxa"/>
            <w:shd w:val="clear" w:color="000000" w:fill="FFC000"/>
            <w:noWrap/>
            <w:vAlign w:val="center"/>
            <w:hideMark/>
          </w:tcPr>
          <w:p w14:paraId="741D2DA9"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 xml:space="preserve">175 987 € </w:t>
            </w:r>
          </w:p>
        </w:tc>
        <w:tc>
          <w:tcPr>
            <w:tcW w:w="1560" w:type="dxa"/>
            <w:shd w:val="clear" w:color="000000" w:fill="FFC000"/>
            <w:noWrap/>
            <w:vAlign w:val="center"/>
            <w:hideMark/>
          </w:tcPr>
          <w:p w14:paraId="1E6D9C31" w14:textId="77777777" w:rsidR="00095E19" w:rsidRPr="00095E19" w:rsidRDefault="00095E19" w:rsidP="001B17AA">
            <w:pPr>
              <w:jc w:val="center"/>
              <w:rPr>
                <w:rFonts w:ascii="Calibri" w:hAnsi="Calibri" w:cs="Calibri"/>
                <w:b/>
                <w:bCs/>
                <w:color w:val="000000"/>
                <w:sz w:val="22"/>
                <w:szCs w:val="22"/>
              </w:rPr>
            </w:pPr>
            <w:r w:rsidRPr="00095E19">
              <w:rPr>
                <w:rFonts w:ascii="Calibri" w:hAnsi="Calibri" w:cs="Calibri"/>
                <w:b/>
                <w:bCs/>
                <w:color w:val="000000"/>
                <w:sz w:val="22"/>
                <w:szCs w:val="22"/>
              </w:rPr>
              <w:t xml:space="preserve">175 987 € </w:t>
            </w:r>
          </w:p>
        </w:tc>
      </w:tr>
    </w:tbl>
    <w:p w14:paraId="1F3342A1" w14:textId="77777777" w:rsidR="00095E19" w:rsidRPr="00140792" w:rsidRDefault="00095E19" w:rsidP="00140792">
      <w:pPr>
        <w:jc w:val="both"/>
        <w:rPr>
          <w:rFonts w:ascii="Calibri" w:hAnsi="Calibri" w:cs="Calibri"/>
          <w:sz w:val="22"/>
          <w:szCs w:val="22"/>
        </w:rPr>
      </w:pPr>
    </w:p>
    <w:p w14:paraId="5C84B3D0" w14:textId="69125F99" w:rsidR="001B1551" w:rsidRDefault="001B1551">
      <w:pPr>
        <w:spacing w:after="160" w:line="259" w:lineRule="auto"/>
        <w:rPr>
          <w:rFonts w:ascii="Calibri" w:hAnsi="Calibri" w:cs="Calibri"/>
          <w:sz w:val="22"/>
          <w:szCs w:val="22"/>
        </w:rPr>
      </w:pPr>
      <w:r>
        <w:rPr>
          <w:rFonts w:ascii="Calibri" w:hAnsi="Calibri" w:cs="Calibri"/>
          <w:sz w:val="22"/>
          <w:szCs w:val="22"/>
        </w:rPr>
        <w:br w:type="page"/>
      </w:r>
    </w:p>
    <w:p w14:paraId="3C750A92" w14:textId="3F560F00" w:rsidR="00A838E5" w:rsidRPr="00CF0C5F" w:rsidRDefault="00A838E5" w:rsidP="00A838E5">
      <w:pPr>
        <w:tabs>
          <w:tab w:val="left" w:pos="5670"/>
        </w:tabs>
        <w:jc w:val="both"/>
        <w:rPr>
          <w:rFonts w:ascii="Calibri" w:hAnsi="Calibri" w:cs="Calibri"/>
          <w:sz w:val="22"/>
          <w:szCs w:val="22"/>
        </w:rPr>
      </w:pPr>
      <w:r>
        <w:rPr>
          <w:rFonts w:ascii="Calibri" w:hAnsi="Calibri" w:cs="Calibri"/>
          <w:bCs/>
          <w:sz w:val="22"/>
          <w:szCs w:val="22"/>
        </w:rPr>
        <w:lastRenderedPageBreak/>
        <w:t xml:space="preserve">Il </w:t>
      </w:r>
      <w:r w:rsidRPr="00CF0C5F">
        <w:rPr>
          <w:rFonts w:ascii="Calibri" w:hAnsi="Calibri" w:cs="Calibri"/>
          <w:sz w:val="22"/>
          <w:szCs w:val="22"/>
        </w:rPr>
        <w:t>convient de rappeler que suivant les dispositions de l’article L.626-10, alinéa 2 du code de commerce, « </w:t>
      </w:r>
      <w:r w:rsidRPr="00CF0C5F">
        <w:rPr>
          <w:rFonts w:ascii="Calibri" w:hAnsi="Calibri" w:cs="Calibri"/>
          <w:i/>
          <w:iCs/>
          <w:sz w:val="22"/>
          <w:szCs w:val="22"/>
        </w:rPr>
        <w:t>lorsque les engagements pour le règlement du passif peuvent être établis sur la base d'une attestation de l'expert-comptable ou du commissaire aux comptes, ils portent sur les créances déclarées admises ou non contestées, ainsi que sur les créances identifiables, notamment celles dont le délai de déclaration n'est pas expiré </w:t>
      </w:r>
      <w:r w:rsidRPr="00CF0C5F">
        <w:rPr>
          <w:rFonts w:ascii="Calibri" w:hAnsi="Calibri" w:cs="Calibri"/>
          <w:sz w:val="22"/>
          <w:szCs w:val="22"/>
        </w:rPr>
        <w:t>».</w:t>
      </w:r>
    </w:p>
    <w:p w14:paraId="71235528" w14:textId="77777777" w:rsidR="00A838E5" w:rsidRDefault="00A838E5" w:rsidP="00A838E5">
      <w:pPr>
        <w:spacing w:line="259" w:lineRule="auto"/>
        <w:rPr>
          <w:rFonts w:ascii="Calibri" w:hAnsi="Calibri" w:cs="Calibri"/>
          <w:bCs/>
          <w:sz w:val="22"/>
          <w:szCs w:val="22"/>
        </w:rPr>
      </w:pPr>
    </w:p>
    <w:p w14:paraId="7386E2BA" w14:textId="564CCBAB" w:rsidR="00A838E5" w:rsidRDefault="00A838E5" w:rsidP="00A838E5">
      <w:pPr>
        <w:spacing w:line="259" w:lineRule="auto"/>
        <w:jc w:val="both"/>
        <w:rPr>
          <w:rFonts w:ascii="Calibri" w:hAnsi="Calibri" w:cs="Calibri"/>
          <w:bCs/>
          <w:sz w:val="22"/>
          <w:szCs w:val="22"/>
        </w:rPr>
      </w:pPr>
      <w:r>
        <w:rPr>
          <w:rFonts w:ascii="Calibri" w:hAnsi="Calibri" w:cs="Calibri"/>
          <w:bCs/>
          <w:sz w:val="22"/>
          <w:szCs w:val="22"/>
        </w:rPr>
        <w:t xml:space="preserve">A cette fin, le cabinet d’expertise-comptable Fiduciaire Rive Gauche de la Société a établi une attestation, conformément aux dispositions de l’article L.626-10 du code de commerce suivant laquelle le passif de la société </w:t>
      </w:r>
      <w:r w:rsidR="00DA407C">
        <w:rPr>
          <w:rFonts w:ascii="Calibri" w:hAnsi="Calibri" w:cs="Calibri"/>
          <w:bCs/>
          <w:sz w:val="22"/>
          <w:szCs w:val="22"/>
        </w:rPr>
        <w:t>SCI TOLBIAC</w:t>
      </w:r>
      <w:r>
        <w:rPr>
          <w:rFonts w:ascii="Calibri" w:hAnsi="Calibri" w:cs="Calibri"/>
          <w:bCs/>
          <w:sz w:val="22"/>
          <w:szCs w:val="22"/>
        </w:rPr>
        <w:t xml:space="preserve"> se décompose ainsi :</w:t>
      </w:r>
    </w:p>
    <w:p w14:paraId="18B4FBE0" w14:textId="77777777" w:rsidR="00A838E5" w:rsidRDefault="00A838E5" w:rsidP="00A838E5">
      <w:pPr>
        <w:spacing w:line="259" w:lineRule="auto"/>
        <w:rPr>
          <w:rFonts w:ascii="Calibri" w:hAnsi="Calibri" w:cs="Calibri"/>
          <w:bCs/>
          <w:sz w:val="22"/>
          <w:szCs w:val="22"/>
        </w:rPr>
      </w:pPr>
    </w:p>
    <w:tbl>
      <w:tblPr>
        <w:tblStyle w:val="Grilledutableau"/>
        <w:tblW w:w="9065" w:type="dxa"/>
        <w:jc w:val="center"/>
        <w:tblLook w:val="04A0" w:firstRow="1" w:lastRow="0" w:firstColumn="1" w:lastColumn="0" w:noHBand="0" w:noVBand="1"/>
      </w:tblPr>
      <w:tblGrid>
        <w:gridCol w:w="1696"/>
        <w:gridCol w:w="1985"/>
        <w:gridCol w:w="3118"/>
        <w:gridCol w:w="2266"/>
      </w:tblGrid>
      <w:tr w:rsidR="005B1C04" w:rsidRPr="00F13897" w14:paraId="1F2AA31C" w14:textId="77777777" w:rsidTr="00E656C6">
        <w:trPr>
          <w:jc w:val="center"/>
        </w:trPr>
        <w:tc>
          <w:tcPr>
            <w:tcW w:w="1696" w:type="dxa"/>
            <w:shd w:val="clear" w:color="auto" w:fill="FFC000"/>
            <w:vAlign w:val="center"/>
          </w:tcPr>
          <w:p w14:paraId="698E2F0C" w14:textId="0606D53B" w:rsidR="005B1C04" w:rsidRPr="00F13897" w:rsidRDefault="005B1C04" w:rsidP="00E656C6">
            <w:pPr>
              <w:spacing w:line="259" w:lineRule="auto"/>
              <w:jc w:val="center"/>
              <w:rPr>
                <w:rFonts w:ascii="Calibri" w:hAnsi="Calibri" w:cs="Calibri"/>
                <w:b/>
                <w:sz w:val="22"/>
                <w:szCs w:val="22"/>
              </w:rPr>
            </w:pPr>
            <w:r w:rsidRPr="00F13897">
              <w:rPr>
                <w:rFonts w:ascii="Calibri" w:hAnsi="Calibri" w:cs="Calibri"/>
                <w:b/>
                <w:sz w:val="22"/>
                <w:szCs w:val="22"/>
              </w:rPr>
              <w:t>Montant déclaré</w:t>
            </w:r>
          </w:p>
        </w:tc>
        <w:tc>
          <w:tcPr>
            <w:tcW w:w="1985" w:type="dxa"/>
            <w:shd w:val="clear" w:color="auto" w:fill="FFC000"/>
            <w:vAlign w:val="center"/>
          </w:tcPr>
          <w:p w14:paraId="0EAFD753" w14:textId="736105AA" w:rsidR="005B1C04" w:rsidRPr="00F13897" w:rsidRDefault="005B1C04" w:rsidP="00E656C6">
            <w:pPr>
              <w:spacing w:line="259" w:lineRule="auto"/>
              <w:jc w:val="center"/>
              <w:rPr>
                <w:rFonts w:ascii="Calibri" w:hAnsi="Calibri" w:cs="Calibri"/>
                <w:b/>
                <w:sz w:val="22"/>
                <w:szCs w:val="22"/>
              </w:rPr>
            </w:pPr>
            <w:r w:rsidRPr="00F13897">
              <w:rPr>
                <w:rFonts w:ascii="Calibri" w:hAnsi="Calibri" w:cs="Calibri"/>
                <w:b/>
                <w:sz w:val="22"/>
                <w:szCs w:val="22"/>
              </w:rPr>
              <w:t>Montant contesté ou rejeté</w:t>
            </w:r>
          </w:p>
        </w:tc>
        <w:tc>
          <w:tcPr>
            <w:tcW w:w="3118" w:type="dxa"/>
            <w:shd w:val="clear" w:color="auto" w:fill="FFC000"/>
            <w:vAlign w:val="center"/>
          </w:tcPr>
          <w:p w14:paraId="0AE43737" w14:textId="63D901CD" w:rsidR="005B1C04" w:rsidRPr="00F13897" w:rsidRDefault="005B1C04" w:rsidP="00E656C6">
            <w:pPr>
              <w:spacing w:line="259" w:lineRule="auto"/>
              <w:jc w:val="center"/>
              <w:rPr>
                <w:rFonts w:ascii="Calibri" w:hAnsi="Calibri" w:cs="Calibri"/>
                <w:b/>
                <w:sz w:val="22"/>
                <w:szCs w:val="22"/>
              </w:rPr>
            </w:pPr>
            <w:r w:rsidRPr="00F13897">
              <w:rPr>
                <w:rFonts w:ascii="Calibri" w:hAnsi="Calibri" w:cs="Calibri"/>
                <w:b/>
                <w:sz w:val="22"/>
                <w:szCs w:val="22"/>
              </w:rPr>
              <w:t>Déclaré en doublons et/ou au titre d’une caution ou d’une garantie donnée par la société</w:t>
            </w:r>
          </w:p>
        </w:tc>
        <w:tc>
          <w:tcPr>
            <w:tcW w:w="2266" w:type="dxa"/>
            <w:shd w:val="clear" w:color="auto" w:fill="FFC000"/>
            <w:vAlign w:val="center"/>
          </w:tcPr>
          <w:p w14:paraId="7026E4F6" w14:textId="1D6ADF2F" w:rsidR="005B1C04" w:rsidRPr="00F13897" w:rsidRDefault="0046383D" w:rsidP="00E656C6">
            <w:pPr>
              <w:spacing w:line="259" w:lineRule="auto"/>
              <w:jc w:val="center"/>
              <w:rPr>
                <w:rFonts w:ascii="Calibri" w:hAnsi="Calibri" w:cs="Calibri"/>
                <w:b/>
                <w:sz w:val="22"/>
                <w:szCs w:val="22"/>
              </w:rPr>
            </w:pPr>
            <w:r w:rsidRPr="00F13897">
              <w:rPr>
                <w:rFonts w:ascii="Calibri" w:hAnsi="Calibri" w:cs="Calibri"/>
                <w:b/>
                <w:sz w:val="22"/>
                <w:szCs w:val="22"/>
              </w:rPr>
              <w:t>Montant admis ou non-contesté</w:t>
            </w:r>
          </w:p>
        </w:tc>
      </w:tr>
      <w:tr w:rsidR="005B1C04" w:rsidRPr="00F13897" w14:paraId="4DAECEF7" w14:textId="77777777" w:rsidTr="00E656C6">
        <w:trPr>
          <w:jc w:val="center"/>
        </w:trPr>
        <w:tc>
          <w:tcPr>
            <w:tcW w:w="1696" w:type="dxa"/>
            <w:vAlign w:val="center"/>
          </w:tcPr>
          <w:p w14:paraId="41C038D2" w14:textId="71599BFE" w:rsidR="005B1C04" w:rsidRPr="00F13897" w:rsidRDefault="00F13897" w:rsidP="00F13897">
            <w:pPr>
              <w:pStyle w:val="Default"/>
              <w:jc w:val="center"/>
              <w:rPr>
                <w:bCs/>
                <w:color w:val="323232"/>
                <w:sz w:val="22"/>
                <w:szCs w:val="22"/>
              </w:rPr>
            </w:pPr>
            <w:r w:rsidRPr="00F13897">
              <w:rPr>
                <w:bCs/>
                <w:color w:val="323232"/>
                <w:sz w:val="22"/>
                <w:szCs w:val="22"/>
              </w:rPr>
              <w:t xml:space="preserve">175 986,56€ </w:t>
            </w:r>
          </w:p>
        </w:tc>
        <w:tc>
          <w:tcPr>
            <w:tcW w:w="1985" w:type="dxa"/>
            <w:vAlign w:val="center"/>
          </w:tcPr>
          <w:p w14:paraId="0650AD5B" w14:textId="0EBAC8BE" w:rsidR="005B1C04" w:rsidRPr="00F13897" w:rsidRDefault="00F13897" w:rsidP="00F13897">
            <w:pPr>
              <w:pStyle w:val="Default"/>
              <w:jc w:val="center"/>
              <w:rPr>
                <w:bCs/>
                <w:color w:val="323232"/>
                <w:sz w:val="22"/>
                <w:szCs w:val="22"/>
              </w:rPr>
            </w:pPr>
            <w:r w:rsidRPr="00F13897">
              <w:rPr>
                <w:bCs/>
                <w:color w:val="323232"/>
                <w:sz w:val="22"/>
                <w:szCs w:val="22"/>
              </w:rPr>
              <w:t xml:space="preserve">175 986,56€ </w:t>
            </w:r>
          </w:p>
        </w:tc>
        <w:tc>
          <w:tcPr>
            <w:tcW w:w="3118" w:type="dxa"/>
            <w:vAlign w:val="center"/>
          </w:tcPr>
          <w:p w14:paraId="60172019" w14:textId="753D2582" w:rsidR="005B1C04" w:rsidRPr="00F13897" w:rsidRDefault="0046383D" w:rsidP="00E656C6">
            <w:pPr>
              <w:spacing w:line="259" w:lineRule="auto"/>
              <w:jc w:val="center"/>
              <w:rPr>
                <w:rFonts w:ascii="Calibri" w:hAnsi="Calibri" w:cs="Calibri"/>
                <w:bCs/>
                <w:sz w:val="22"/>
                <w:szCs w:val="22"/>
              </w:rPr>
            </w:pPr>
            <w:r w:rsidRPr="00F13897">
              <w:rPr>
                <w:rFonts w:ascii="Calibri" w:hAnsi="Calibri" w:cs="Calibri"/>
                <w:bCs/>
                <w:sz w:val="22"/>
                <w:szCs w:val="22"/>
              </w:rPr>
              <w:t>0 €</w:t>
            </w:r>
          </w:p>
        </w:tc>
        <w:tc>
          <w:tcPr>
            <w:tcW w:w="2266" w:type="dxa"/>
            <w:vAlign w:val="center"/>
          </w:tcPr>
          <w:p w14:paraId="72374714" w14:textId="59F5BE2C" w:rsidR="005B1C04" w:rsidRPr="00F13897" w:rsidRDefault="00F13897" w:rsidP="00E656C6">
            <w:pPr>
              <w:spacing w:line="259" w:lineRule="auto"/>
              <w:jc w:val="center"/>
              <w:rPr>
                <w:rFonts w:ascii="Calibri" w:hAnsi="Calibri" w:cs="Calibri"/>
                <w:bCs/>
                <w:sz w:val="22"/>
                <w:szCs w:val="22"/>
              </w:rPr>
            </w:pPr>
            <w:r w:rsidRPr="00F13897">
              <w:rPr>
                <w:rFonts w:ascii="Calibri" w:hAnsi="Calibri" w:cs="Calibri"/>
                <w:bCs/>
                <w:sz w:val="22"/>
                <w:szCs w:val="22"/>
              </w:rPr>
              <w:t>0</w:t>
            </w:r>
            <w:r w:rsidR="0046383D" w:rsidRPr="00F13897">
              <w:rPr>
                <w:rFonts w:ascii="Calibri" w:hAnsi="Calibri" w:cs="Calibri"/>
                <w:bCs/>
                <w:sz w:val="22"/>
                <w:szCs w:val="22"/>
              </w:rPr>
              <w:t xml:space="preserve"> €</w:t>
            </w:r>
          </w:p>
        </w:tc>
      </w:tr>
    </w:tbl>
    <w:p w14:paraId="1DED9D8D" w14:textId="77777777" w:rsidR="007754AB" w:rsidRDefault="007754AB" w:rsidP="00A838E5">
      <w:pPr>
        <w:spacing w:line="259" w:lineRule="auto"/>
        <w:rPr>
          <w:rFonts w:ascii="Calibri" w:hAnsi="Calibri" w:cs="Calibri"/>
          <w:bCs/>
          <w:sz w:val="22"/>
          <w:szCs w:val="22"/>
        </w:rPr>
      </w:pPr>
    </w:p>
    <w:p w14:paraId="5C634BD7" w14:textId="7AED0B59" w:rsidR="00A838E5" w:rsidRDefault="00A838E5" w:rsidP="00A838E5">
      <w:pPr>
        <w:spacing w:line="259" w:lineRule="auto"/>
        <w:rPr>
          <w:rFonts w:ascii="Calibri" w:hAnsi="Calibri" w:cs="Calibri"/>
          <w:bCs/>
          <w:sz w:val="22"/>
          <w:szCs w:val="22"/>
        </w:rPr>
      </w:pPr>
      <w:r>
        <w:rPr>
          <w:rFonts w:ascii="Calibri" w:hAnsi="Calibri" w:cs="Calibri"/>
          <w:bCs/>
          <w:sz w:val="22"/>
          <w:szCs w:val="22"/>
        </w:rPr>
        <w:t xml:space="preserve">L’attestation de l’expert-comptable figure en </w:t>
      </w:r>
      <w:r w:rsidRPr="00A838E5">
        <w:rPr>
          <w:rFonts w:ascii="Calibri" w:hAnsi="Calibri" w:cs="Calibri"/>
          <w:b/>
          <w:i/>
          <w:iCs/>
          <w:sz w:val="22"/>
          <w:szCs w:val="22"/>
          <w:u w:val="single"/>
        </w:rPr>
        <w:t>Annexe 2</w:t>
      </w:r>
      <w:r>
        <w:rPr>
          <w:rFonts w:ascii="Calibri" w:hAnsi="Calibri" w:cs="Calibri"/>
          <w:bCs/>
          <w:sz w:val="22"/>
          <w:szCs w:val="22"/>
        </w:rPr>
        <w:t xml:space="preserve">. </w:t>
      </w:r>
    </w:p>
    <w:p w14:paraId="3BBFE90A" w14:textId="77777777" w:rsidR="00A838E5" w:rsidRDefault="00A838E5" w:rsidP="00D40074">
      <w:pPr>
        <w:spacing w:line="259" w:lineRule="auto"/>
        <w:jc w:val="both"/>
        <w:rPr>
          <w:rFonts w:ascii="Calibri" w:hAnsi="Calibri" w:cs="Calibri"/>
          <w:sz w:val="22"/>
          <w:szCs w:val="22"/>
        </w:rPr>
      </w:pPr>
    </w:p>
    <w:p w14:paraId="25A9FC30" w14:textId="0DDA1FB3" w:rsidR="00A838E5" w:rsidRDefault="00A838E5" w:rsidP="00D40074">
      <w:pPr>
        <w:spacing w:line="259" w:lineRule="auto"/>
        <w:jc w:val="both"/>
        <w:rPr>
          <w:rFonts w:ascii="Calibri" w:hAnsi="Calibri" w:cs="Calibri"/>
          <w:sz w:val="22"/>
          <w:szCs w:val="22"/>
        </w:rPr>
      </w:pPr>
      <w:r w:rsidRPr="00936AEB">
        <w:rPr>
          <w:rFonts w:ascii="Calibri" w:hAnsi="Calibri" w:cs="Calibri"/>
          <w:sz w:val="22"/>
          <w:szCs w:val="22"/>
        </w:rPr>
        <w:t>Il convient de relever qu’aucun retraitement du passif n’a été effectué</w:t>
      </w:r>
      <w:r w:rsidR="00DD0273" w:rsidRPr="00936AEB">
        <w:rPr>
          <w:rFonts w:ascii="Calibri" w:hAnsi="Calibri" w:cs="Calibri"/>
          <w:sz w:val="22"/>
          <w:szCs w:val="22"/>
        </w:rPr>
        <w:t xml:space="preserve"> et que le présent projet de plan est établi sur l’intégralité du passif déclaré entre les mains du mandataire judiciaire</w:t>
      </w:r>
      <w:r w:rsidRPr="00936AEB">
        <w:rPr>
          <w:rFonts w:ascii="Calibri" w:hAnsi="Calibri" w:cs="Calibri"/>
          <w:sz w:val="22"/>
          <w:szCs w:val="22"/>
        </w:rPr>
        <w:t>.</w:t>
      </w:r>
      <w:r>
        <w:rPr>
          <w:rFonts w:ascii="Calibri" w:hAnsi="Calibri" w:cs="Calibri"/>
          <w:sz w:val="22"/>
          <w:szCs w:val="22"/>
        </w:rPr>
        <w:t xml:space="preserve"> </w:t>
      </w:r>
    </w:p>
    <w:p w14:paraId="01242F49" w14:textId="77777777" w:rsidR="00A838E5" w:rsidRDefault="00A838E5" w:rsidP="00D40074">
      <w:pPr>
        <w:spacing w:line="259" w:lineRule="auto"/>
        <w:jc w:val="both"/>
        <w:rPr>
          <w:rFonts w:ascii="Calibri" w:hAnsi="Calibri" w:cs="Calibri"/>
          <w:sz w:val="22"/>
          <w:szCs w:val="22"/>
        </w:rPr>
      </w:pPr>
    </w:p>
    <w:p w14:paraId="59C7EE84" w14:textId="195C8484" w:rsidR="00250E35" w:rsidRDefault="00864BD3" w:rsidP="00370E82">
      <w:pPr>
        <w:spacing w:line="259" w:lineRule="auto"/>
        <w:jc w:val="both"/>
        <w:rPr>
          <w:rFonts w:ascii="Calibri" w:hAnsi="Calibri" w:cs="Calibri"/>
          <w:sz w:val="22"/>
          <w:szCs w:val="22"/>
        </w:rPr>
      </w:pPr>
      <w:r>
        <w:rPr>
          <w:rFonts w:ascii="Calibri" w:hAnsi="Calibri" w:cs="Calibri"/>
          <w:sz w:val="22"/>
          <w:szCs w:val="22"/>
        </w:rPr>
        <w:t>A</w:t>
      </w:r>
      <w:r w:rsidR="005E4269">
        <w:rPr>
          <w:rFonts w:ascii="Calibri" w:hAnsi="Calibri" w:cs="Calibri"/>
          <w:sz w:val="22"/>
          <w:szCs w:val="22"/>
        </w:rPr>
        <w:t>insi</w:t>
      </w:r>
      <w:r>
        <w:rPr>
          <w:rFonts w:ascii="Calibri" w:hAnsi="Calibri" w:cs="Calibri"/>
          <w:sz w:val="22"/>
          <w:szCs w:val="22"/>
        </w:rPr>
        <w:t>, l</w:t>
      </w:r>
      <w:r w:rsidR="006C2F98" w:rsidRPr="006C2F98">
        <w:rPr>
          <w:rFonts w:ascii="Calibri" w:hAnsi="Calibri" w:cs="Calibri"/>
          <w:sz w:val="22"/>
          <w:szCs w:val="22"/>
        </w:rPr>
        <w:t xml:space="preserve">e passif maximum objet du projet de plan, dans l’attente de l’issue </w:t>
      </w:r>
      <w:r w:rsidR="007D4108" w:rsidRPr="006C2F98">
        <w:rPr>
          <w:rFonts w:ascii="Calibri" w:hAnsi="Calibri" w:cs="Calibri"/>
          <w:sz w:val="22"/>
          <w:szCs w:val="22"/>
        </w:rPr>
        <w:t>des audiences</w:t>
      </w:r>
      <w:r w:rsidR="00A137CC">
        <w:rPr>
          <w:rFonts w:ascii="Calibri" w:hAnsi="Calibri" w:cs="Calibri"/>
          <w:sz w:val="22"/>
          <w:szCs w:val="22"/>
        </w:rPr>
        <w:t xml:space="preserve"> de contestation </w:t>
      </w:r>
      <w:r w:rsidR="005E4269">
        <w:rPr>
          <w:rFonts w:ascii="Calibri" w:hAnsi="Calibri" w:cs="Calibri"/>
          <w:sz w:val="22"/>
          <w:szCs w:val="22"/>
        </w:rPr>
        <w:t>de créances</w:t>
      </w:r>
      <w:r w:rsidR="00C64D63">
        <w:rPr>
          <w:rFonts w:ascii="Calibri" w:hAnsi="Calibri" w:cs="Calibri"/>
          <w:sz w:val="22"/>
          <w:szCs w:val="22"/>
        </w:rPr>
        <w:t xml:space="preserve">, </w:t>
      </w:r>
      <w:r w:rsidR="00A137CC">
        <w:rPr>
          <w:rFonts w:ascii="Calibri" w:hAnsi="Calibri" w:cs="Calibri"/>
          <w:sz w:val="22"/>
          <w:szCs w:val="22"/>
        </w:rPr>
        <w:t xml:space="preserve">s’élève à </w:t>
      </w:r>
      <w:r w:rsidR="00941E46">
        <w:rPr>
          <w:rFonts w:ascii="Calibri" w:hAnsi="Calibri" w:cs="Calibri"/>
          <w:b/>
          <w:bCs/>
          <w:color w:val="000000"/>
          <w:sz w:val="22"/>
          <w:szCs w:val="22"/>
        </w:rPr>
        <w:t>173 197,97 €</w:t>
      </w:r>
      <w:r w:rsidR="00A137CC">
        <w:rPr>
          <w:rFonts w:ascii="Calibri" w:hAnsi="Calibri" w:cs="Calibri"/>
          <w:b/>
          <w:bCs/>
          <w:color w:val="000000"/>
          <w:sz w:val="22"/>
          <w:szCs w:val="22"/>
        </w:rPr>
        <w:t xml:space="preserve"> </w:t>
      </w:r>
      <w:r w:rsidR="00A137CC" w:rsidRPr="00A137CC">
        <w:rPr>
          <w:rFonts w:ascii="Calibri" w:hAnsi="Calibri" w:cs="Calibri"/>
          <w:color w:val="000000"/>
          <w:sz w:val="22"/>
          <w:szCs w:val="22"/>
        </w:rPr>
        <w:t xml:space="preserve">et </w:t>
      </w:r>
      <w:r w:rsidR="00C64D63" w:rsidRPr="00A137CC">
        <w:rPr>
          <w:rFonts w:ascii="Calibri" w:hAnsi="Calibri" w:cs="Calibri"/>
          <w:sz w:val="22"/>
          <w:szCs w:val="22"/>
        </w:rPr>
        <w:t>s</w:t>
      </w:r>
      <w:r w:rsidR="00C64D63">
        <w:rPr>
          <w:rFonts w:ascii="Calibri" w:hAnsi="Calibri" w:cs="Calibri"/>
          <w:sz w:val="22"/>
          <w:szCs w:val="22"/>
        </w:rPr>
        <w:t xml:space="preserve">e </w:t>
      </w:r>
      <w:r w:rsidR="006C2F98" w:rsidRPr="006C2F98">
        <w:rPr>
          <w:rFonts w:ascii="Calibri" w:hAnsi="Calibri" w:cs="Calibri"/>
          <w:sz w:val="22"/>
          <w:szCs w:val="22"/>
        </w:rPr>
        <w:t>décompose comme suit :</w:t>
      </w:r>
      <w:bookmarkStart w:id="35" w:name="_Hlk139366043"/>
      <w:bookmarkEnd w:id="34"/>
    </w:p>
    <w:p w14:paraId="26B94406" w14:textId="0A2A5D1D" w:rsidR="00D10848" w:rsidRDefault="00D10848" w:rsidP="00C11DED">
      <w:pPr>
        <w:pStyle w:val="2MAJ-adresse"/>
      </w:pPr>
    </w:p>
    <w:tbl>
      <w:tblPr>
        <w:tblW w:w="7980" w:type="dxa"/>
        <w:jc w:val="center"/>
        <w:tblCellMar>
          <w:left w:w="70" w:type="dxa"/>
          <w:right w:w="70" w:type="dxa"/>
        </w:tblCellMar>
        <w:tblLook w:val="04A0" w:firstRow="1" w:lastRow="0" w:firstColumn="1" w:lastColumn="0" w:noHBand="0" w:noVBand="1"/>
      </w:tblPr>
      <w:tblGrid>
        <w:gridCol w:w="4940"/>
        <w:gridCol w:w="3040"/>
      </w:tblGrid>
      <w:tr w:rsidR="00D907FD" w14:paraId="5CC93D8E" w14:textId="77777777" w:rsidTr="00707120">
        <w:trPr>
          <w:trHeight w:val="290"/>
          <w:jc w:val="center"/>
        </w:trPr>
        <w:tc>
          <w:tcPr>
            <w:tcW w:w="4940" w:type="dxa"/>
            <w:tcBorders>
              <w:top w:val="nil"/>
              <w:left w:val="nil"/>
              <w:bottom w:val="nil"/>
              <w:right w:val="nil"/>
            </w:tcBorders>
            <w:noWrap/>
            <w:vAlign w:val="center"/>
            <w:hideMark/>
          </w:tcPr>
          <w:p w14:paraId="0132AF75" w14:textId="77777777" w:rsidR="00D907FD" w:rsidRDefault="00D907FD">
            <w:pPr>
              <w:rPr>
                <w:sz w:val="20"/>
                <w:szCs w:val="20"/>
              </w:rPr>
            </w:pPr>
          </w:p>
        </w:tc>
        <w:tc>
          <w:tcPr>
            <w:tcW w:w="30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081C0AC" w14:textId="77777777" w:rsidR="00D907FD" w:rsidRDefault="00D907FD">
            <w:pPr>
              <w:jc w:val="center"/>
              <w:rPr>
                <w:rFonts w:ascii="Calibri" w:hAnsi="Calibri" w:cs="Calibri"/>
                <w:b/>
                <w:bCs/>
                <w:color w:val="000000"/>
                <w:sz w:val="22"/>
                <w:szCs w:val="22"/>
              </w:rPr>
            </w:pPr>
            <w:r>
              <w:rPr>
                <w:rFonts w:ascii="Calibri" w:hAnsi="Calibri" w:cs="Calibri"/>
                <w:b/>
                <w:bCs/>
                <w:color w:val="000000"/>
                <w:sz w:val="22"/>
                <w:szCs w:val="22"/>
              </w:rPr>
              <w:t>Montant</w:t>
            </w:r>
          </w:p>
        </w:tc>
      </w:tr>
      <w:tr w:rsidR="00D907FD" w14:paraId="66ABA56B" w14:textId="77777777" w:rsidTr="00707120">
        <w:trPr>
          <w:trHeight w:val="290"/>
          <w:jc w:val="center"/>
        </w:trPr>
        <w:tc>
          <w:tcPr>
            <w:tcW w:w="4940" w:type="dxa"/>
            <w:tcBorders>
              <w:top w:val="single" w:sz="4" w:space="0" w:color="auto"/>
              <w:left w:val="single" w:sz="4" w:space="0" w:color="auto"/>
              <w:bottom w:val="single" w:sz="4" w:space="0" w:color="auto"/>
              <w:right w:val="single" w:sz="4" w:space="0" w:color="auto"/>
            </w:tcBorders>
            <w:noWrap/>
            <w:vAlign w:val="center"/>
            <w:hideMark/>
          </w:tcPr>
          <w:p w14:paraId="2F4B6956" w14:textId="77777777" w:rsidR="00D907FD" w:rsidRDefault="00D907FD">
            <w:pPr>
              <w:rPr>
                <w:rFonts w:ascii="Calibri" w:hAnsi="Calibri" w:cs="Calibri"/>
                <w:color w:val="000000"/>
                <w:sz w:val="22"/>
                <w:szCs w:val="22"/>
              </w:rPr>
            </w:pPr>
            <w:r>
              <w:rPr>
                <w:rFonts w:ascii="Calibri" w:hAnsi="Calibri" w:cs="Calibri"/>
                <w:color w:val="000000"/>
                <w:sz w:val="22"/>
                <w:szCs w:val="22"/>
              </w:rPr>
              <w:t>Privilégié</w:t>
            </w:r>
          </w:p>
        </w:tc>
        <w:tc>
          <w:tcPr>
            <w:tcW w:w="3040" w:type="dxa"/>
            <w:tcBorders>
              <w:top w:val="nil"/>
              <w:left w:val="nil"/>
              <w:bottom w:val="single" w:sz="4" w:space="0" w:color="auto"/>
              <w:right w:val="single" w:sz="4" w:space="0" w:color="auto"/>
            </w:tcBorders>
            <w:shd w:val="clear" w:color="000000" w:fill="FFFFFF"/>
            <w:noWrap/>
            <w:vAlign w:val="center"/>
            <w:hideMark/>
          </w:tcPr>
          <w:p w14:paraId="7B14C3E2" w14:textId="77777777" w:rsidR="00D907FD" w:rsidRDefault="00D907FD">
            <w:pPr>
              <w:jc w:val="center"/>
              <w:rPr>
                <w:rFonts w:ascii="Calibri" w:hAnsi="Calibri" w:cs="Calibri"/>
                <w:color w:val="000000"/>
                <w:sz w:val="22"/>
                <w:szCs w:val="22"/>
              </w:rPr>
            </w:pPr>
            <w:r>
              <w:rPr>
                <w:rFonts w:ascii="Calibri" w:hAnsi="Calibri" w:cs="Calibri"/>
                <w:color w:val="000000"/>
                <w:sz w:val="22"/>
                <w:szCs w:val="22"/>
              </w:rPr>
              <w:t>164 792,59 €</w:t>
            </w:r>
          </w:p>
        </w:tc>
      </w:tr>
      <w:tr w:rsidR="00D907FD" w14:paraId="478AB507" w14:textId="77777777" w:rsidTr="00707120">
        <w:trPr>
          <w:trHeight w:val="290"/>
          <w:jc w:val="center"/>
        </w:trPr>
        <w:tc>
          <w:tcPr>
            <w:tcW w:w="4940" w:type="dxa"/>
            <w:tcBorders>
              <w:top w:val="nil"/>
              <w:left w:val="single" w:sz="4" w:space="0" w:color="auto"/>
              <w:bottom w:val="single" w:sz="4" w:space="0" w:color="auto"/>
              <w:right w:val="single" w:sz="4" w:space="0" w:color="auto"/>
            </w:tcBorders>
            <w:noWrap/>
            <w:vAlign w:val="center"/>
            <w:hideMark/>
          </w:tcPr>
          <w:p w14:paraId="61F5DE7F" w14:textId="77777777" w:rsidR="00D907FD" w:rsidRDefault="00D907FD">
            <w:pPr>
              <w:rPr>
                <w:rFonts w:ascii="Calibri" w:hAnsi="Calibri" w:cs="Calibri"/>
                <w:color w:val="000000"/>
                <w:sz w:val="22"/>
                <w:szCs w:val="22"/>
              </w:rPr>
            </w:pPr>
            <w:r>
              <w:rPr>
                <w:rFonts w:ascii="Calibri" w:hAnsi="Calibri" w:cs="Calibri"/>
                <w:color w:val="000000"/>
                <w:sz w:val="22"/>
                <w:szCs w:val="22"/>
              </w:rPr>
              <w:t>Chirographaire</w:t>
            </w:r>
          </w:p>
        </w:tc>
        <w:tc>
          <w:tcPr>
            <w:tcW w:w="3040" w:type="dxa"/>
            <w:tcBorders>
              <w:top w:val="nil"/>
              <w:left w:val="nil"/>
              <w:bottom w:val="single" w:sz="4" w:space="0" w:color="auto"/>
              <w:right w:val="single" w:sz="4" w:space="0" w:color="auto"/>
            </w:tcBorders>
            <w:shd w:val="clear" w:color="000000" w:fill="FFFFFF"/>
            <w:noWrap/>
            <w:vAlign w:val="center"/>
            <w:hideMark/>
          </w:tcPr>
          <w:p w14:paraId="3065AC2B" w14:textId="77777777" w:rsidR="00D907FD" w:rsidRDefault="00D907FD">
            <w:pPr>
              <w:jc w:val="center"/>
              <w:rPr>
                <w:rFonts w:ascii="Calibri" w:hAnsi="Calibri" w:cs="Calibri"/>
                <w:color w:val="000000"/>
                <w:sz w:val="22"/>
                <w:szCs w:val="22"/>
              </w:rPr>
            </w:pPr>
            <w:r>
              <w:rPr>
                <w:rFonts w:ascii="Calibri" w:hAnsi="Calibri" w:cs="Calibri"/>
                <w:color w:val="000000"/>
                <w:sz w:val="22"/>
                <w:szCs w:val="22"/>
              </w:rPr>
              <w:t>11 193,97 €</w:t>
            </w:r>
          </w:p>
        </w:tc>
      </w:tr>
      <w:tr w:rsidR="00D907FD" w14:paraId="6AA43F06" w14:textId="77777777" w:rsidTr="00707120">
        <w:trPr>
          <w:trHeight w:val="290"/>
          <w:jc w:val="center"/>
        </w:trPr>
        <w:tc>
          <w:tcPr>
            <w:tcW w:w="4940" w:type="dxa"/>
            <w:tcBorders>
              <w:top w:val="nil"/>
              <w:left w:val="single" w:sz="4" w:space="0" w:color="auto"/>
              <w:bottom w:val="single" w:sz="4" w:space="0" w:color="auto"/>
              <w:right w:val="single" w:sz="4" w:space="0" w:color="auto"/>
            </w:tcBorders>
            <w:shd w:val="clear" w:color="000000" w:fill="FFC000"/>
            <w:vAlign w:val="center"/>
            <w:hideMark/>
          </w:tcPr>
          <w:p w14:paraId="2F4FAB5B" w14:textId="77777777" w:rsidR="00D907FD" w:rsidRDefault="00D907FD">
            <w:pPr>
              <w:rPr>
                <w:rFonts w:ascii="Calibri" w:hAnsi="Calibri" w:cs="Calibri"/>
                <w:b/>
                <w:bCs/>
                <w:i/>
                <w:iCs/>
                <w:color w:val="000000"/>
                <w:sz w:val="22"/>
                <w:szCs w:val="22"/>
              </w:rPr>
            </w:pPr>
            <w:r>
              <w:rPr>
                <w:rFonts w:ascii="Calibri" w:hAnsi="Calibri" w:cs="Calibri"/>
                <w:b/>
                <w:bCs/>
                <w:i/>
                <w:iCs/>
                <w:color w:val="000000"/>
                <w:sz w:val="22"/>
                <w:szCs w:val="22"/>
              </w:rPr>
              <w:t xml:space="preserve"> = Total passif déclaré au passif </w:t>
            </w:r>
          </w:p>
        </w:tc>
        <w:tc>
          <w:tcPr>
            <w:tcW w:w="3040" w:type="dxa"/>
            <w:tcBorders>
              <w:top w:val="nil"/>
              <w:left w:val="nil"/>
              <w:bottom w:val="nil"/>
              <w:right w:val="single" w:sz="4" w:space="0" w:color="auto"/>
            </w:tcBorders>
            <w:shd w:val="clear" w:color="000000" w:fill="FFC000"/>
            <w:noWrap/>
            <w:vAlign w:val="center"/>
            <w:hideMark/>
          </w:tcPr>
          <w:p w14:paraId="1E6D856C" w14:textId="77777777" w:rsidR="00D907FD" w:rsidRDefault="00D907FD">
            <w:pPr>
              <w:jc w:val="center"/>
              <w:rPr>
                <w:rFonts w:ascii="Calibri" w:hAnsi="Calibri" w:cs="Calibri"/>
                <w:b/>
                <w:bCs/>
                <w:color w:val="000000"/>
                <w:sz w:val="22"/>
                <w:szCs w:val="22"/>
              </w:rPr>
            </w:pPr>
            <w:r>
              <w:rPr>
                <w:rFonts w:ascii="Calibri" w:hAnsi="Calibri" w:cs="Calibri"/>
                <w:b/>
                <w:bCs/>
                <w:color w:val="000000"/>
                <w:sz w:val="22"/>
                <w:szCs w:val="22"/>
              </w:rPr>
              <w:t>175 986,56 €</w:t>
            </w:r>
          </w:p>
        </w:tc>
      </w:tr>
      <w:tr w:rsidR="00D907FD" w14:paraId="4CCDBCC6" w14:textId="77777777" w:rsidTr="00707120">
        <w:trPr>
          <w:trHeight w:val="290"/>
          <w:jc w:val="center"/>
        </w:trPr>
        <w:tc>
          <w:tcPr>
            <w:tcW w:w="4940" w:type="dxa"/>
            <w:tcBorders>
              <w:top w:val="nil"/>
              <w:left w:val="single" w:sz="4" w:space="0" w:color="auto"/>
              <w:bottom w:val="single" w:sz="4" w:space="0" w:color="auto"/>
              <w:right w:val="single" w:sz="4" w:space="0" w:color="auto"/>
            </w:tcBorders>
            <w:noWrap/>
            <w:hideMark/>
          </w:tcPr>
          <w:p w14:paraId="3A12AB43" w14:textId="77777777" w:rsidR="00D907FD" w:rsidRDefault="00D907FD">
            <w:pPr>
              <w:rPr>
                <w:rFonts w:ascii="Calibri" w:hAnsi="Calibri" w:cs="Calibri"/>
                <w:i/>
                <w:iCs/>
                <w:color w:val="000000"/>
                <w:sz w:val="22"/>
                <w:szCs w:val="22"/>
              </w:rPr>
            </w:pPr>
            <w:r>
              <w:rPr>
                <w:rFonts w:ascii="Calibri" w:hAnsi="Calibri" w:cs="Calibri"/>
                <w:i/>
                <w:iCs/>
                <w:color w:val="000000"/>
                <w:sz w:val="22"/>
                <w:szCs w:val="22"/>
              </w:rPr>
              <w:t>- créances &lt;500 €</w:t>
            </w:r>
          </w:p>
        </w:tc>
        <w:tc>
          <w:tcPr>
            <w:tcW w:w="3040" w:type="dxa"/>
            <w:tcBorders>
              <w:top w:val="single" w:sz="4" w:space="0" w:color="auto"/>
              <w:left w:val="nil"/>
              <w:bottom w:val="single" w:sz="4" w:space="0" w:color="auto"/>
              <w:right w:val="single" w:sz="4" w:space="0" w:color="auto"/>
            </w:tcBorders>
            <w:shd w:val="clear" w:color="000000" w:fill="FFFFFF"/>
            <w:noWrap/>
            <w:vAlign w:val="center"/>
            <w:hideMark/>
          </w:tcPr>
          <w:p w14:paraId="7940FA42" w14:textId="77777777" w:rsidR="00D907FD" w:rsidRDefault="00D907FD" w:rsidP="00663692">
            <w:pPr>
              <w:jc w:val="center"/>
              <w:rPr>
                <w:rFonts w:ascii="Calibri" w:hAnsi="Calibri" w:cs="Calibri"/>
                <w:sz w:val="22"/>
                <w:szCs w:val="22"/>
              </w:rPr>
            </w:pPr>
            <w:r>
              <w:rPr>
                <w:rFonts w:ascii="Calibri" w:hAnsi="Calibri" w:cs="Calibri"/>
                <w:sz w:val="22"/>
                <w:szCs w:val="22"/>
              </w:rPr>
              <w:t>338,59 €</w:t>
            </w:r>
          </w:p>
        </w:tc>
      </w:tr>
      <w:tr w:rsidR="00D907FD" w:rsidRPr="00F354E3" w14:paraId="6CF1B63B" w14:textId="77777777" w:rsidTr="00F354E3">
        <w:trPr>
          <w:trHeight w:val="580"/>
          <w:jc w:val="center"/>
        </w:trPr>
        <w:tc>
          <w:tcPr>
            <w:tcW w:w="49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CFC915" w14:textId="77777777" w:rsidR="00D907FD" w:rsidRPr="00F354E3" w:rsidRDefault="00D907FD">
            <w:pPr>
              <w:rPr>
                <w:rFonts w:ascii="Calibri" w:hAnsi="Calibri" w:cs="Calibri"/>
                <w:i/>
                <w:iCs/>
                <w:color w:val="000000"/>
                <w:sz w:val="22"/>
                <w:szCs w:val="22"/>
              </w:rPr>
            </w:pPr>
            <w:r w:rsidRPr="00F354E3">
              <w:rPr>
                <w:rFonts w:ascii="Calibri" w:hAnsi="Calibri" w:cs="Calibri"/>
                <w:i/>
                <w:iCs/>
                <w:color w:val="000000"/>
                <w:sz w:val="22"/>
                <w:szCs w:val="22"/>
              </w:rPr>
              <w:t>- Passif intragroupe (subordonné au paiement de l'intégralité du passif)</w:t>
            </w:r>
          </w:p>
        </w:tc>
        <w:tc>
          <w:tcPr>
            <w:tcW w:w="3040" w:type="dxa"/>
            <w:tcBorders>
              <w:top w:val="nil"/>
              <w:left w:val="nil"/>
              <w:bottom w:val="single" w:sz="4" w:space="0" w:color="auto"/>
              <w:right w:val="single" w:sz="4" w:space="0" w:color="auto"/>
            </w:tcBorders>
            <w:shd w:val="clear" w:color="auto" w:fill="FFFFFF" w:themeFill="background1"/>
            <w:noWrap/>
            <w:vAlign w:val="center"/>
            <w:hideMark/>
          </w:tcPr>
          <w:p w14:paraId="3D61D33E" w14:textId="5347B529" w:rsidR="00D907FD" w:rsidRPr="00663692" w:rsidRDefault="00D907FD" w:rsidP="00663692">
            <w:pPr>
              <w:jc w:val="center"/>
              <w:rPr>
                <w:rFonts w:ascii="Calibri" w:hAnsi="Calibri" w:cs="Calibri"/>
                <w:color w:val="000000"/>
                <w:sz w:val="22"/>
                <w:szCs w:val="22"/>
              </w:rPr>
            </w:pPr>
            <w:r w:rsidRPr="00663692">
              <w:rPr>
                <w:rFonts w:ascii="Calibri" w:hAnsi="Calibri" w:cs="Calibri"/>
                <w:color w:val="000000"/>
                <w:sz w:val="22"/>
                <w:szCs w:val="22"/>
              </w:rPr>
              <w:t>2 450 €</w:t>
            </w:r>
          </w:p>
        </w:tc>
      </w:tr>
      <w:tr w:rsidR="00D907FD" w14:paraId="355D833D" w14:textId="77777777" w:rsidTr="00707120">
        <w:trPr>
          <w:trHeight w:val="290"/>
          <w:jc w:val="center"/>
        </w:trPr>
        <w:tc>
          <w:tcPr>
            <w:tcW w:w="4940" w:type="dxa"/>
            <w:tcBorders>
              <w:top w:val="nil"/>
              <w:left w:val="single" w:sz="4" w:space="0" w:color="auto"/>
              <w:bottom w:val="single" w:sz="4" w:space="0" w:color="auto"/>
              <w:right w:val="single" w:sz="4" w:space="0" w:color="auto"/>
            </w:tcBorders>
            <w:shd w:val="clear" w:color="000000" w:fill="FFC000"/>
            <w:vAlign w:val="center"/>
            <w:hideMark/>
          </w:tcPr>
          <w:p w14:paraId="0FE8E4EE" w14:textId="77777777" w:rsidR="00D907FD" w:rsidRDefault="00D907FD">
            <w:pPr>
              <w:rPr>
                <w:rFonts w:ascii="Calibri" w:hAnsi="Calibri" w:cs="Calibri"/>
                <w:b/>
                <w:bCs/>
                <w:i/>
                <w:iCs/>
                <w:color w:val="000000"/>
                <w:sz w:val="22"/>
                <w:szCs w:val="22"/>
              </w:rPr>
            </w:pPr>
            <w:r>
              <w:rPr>
                <w:rFonts w:ascii="Calibri" w:hAnsi="Calibri" w:cs="Calibri"/>
                <w:b/>
                <w:bCs/>
                <w:i/>
                <w:iCs/>
                <w:color w:val="000000"/>
                <w:sz w:val="22"/>
                <w:szCs w:val="22"/>
              </w:rPr>
              <w:t xml:space="preserve"> = Total passif maximum objet du projet de plan</w:t>
            </w:r>
          </w:p>
        </w:tc>
        <w:tc>
          <w:tcPr>
            <w:tcW w:w="3040" w:type="dxa"/>
            <w:tcBorders>
              <w:top w:val="nil"/>
              <w:left w:val="nil"/>
              <w:bottom w:val="single" w:sz="4" w:space="0" w:color="auto"/>
              <w:right w:val="single" w:sz="4" w:space="0" w:color="auto"/>
            </w:tcBorders>
            <w:shd w:val="clear" w:color="000000" w:fill="FFC000"/>
            <w:noWrap/>
            <w:vAlign w:val="center"/>
            <w:hideMark/>
          </w:tcPr>
          <w:p w14:paraId="74A33CB9" w14:textId="77777777" w:rsidR="00D907FD" w:rsidRDefault="00D907FD">
            <w:pPr>
              <w:jc w:val="center"/>
              <w:rPr>
                <w:rFonts w:ascii="Calibri" w:hAnsi="Calibri" w:cs="Calibri"/>
                <w:b/>
                <w:bCs/>
                <w:color w:val="000000"/>
                <w:sz w:val="22"/>
                <w:szCs w:val="22"/>
              </w:rPr>
            </w:pPr>
            <w:r>
              <w:rPr>
                <w:rFonts w:ascii="Calibri" w:hAnsi="Calibri" w:cs="Calibri"/>
                <w:b/>
                <w:bCs/>
                <w:color w:val="000000"/>
                <w:sz w:val="22"/>
                <w:szCs w:val="22"/>
              </w:rPr>
              <w:t>173 197,97 €</w:t>
            </w:r>
          </w:p>
        </w:tc>
      </w:tr>
    </w:tbl>
    <w:p w14:paraId="3FD15A2E" w14:textId="77777777" w:rsidR="00250E35" w:rsidRDefault="00250E35" w:rsidP="00C11DED">
      <w:pPr>
        <w:pStyle w:val="2MAJ-adresse"/>
      </w:pPr>
    </w:p>
    <w:p w14:paraId="61E8AF5A" w14:textId="5F4D0181" w:rsidR="00142459" w:rsidRPr="00C11DED" w:rsidRDefault="00142459" w:rsidP="00C11DED">
      <w:pPr>
        <w:pStyle w:val="2MAJ-adresse"/>
      </w:pPr>
      <w:r w:rsidRPr="00C11DED">
        <w:t xml:space="preserve">Dans le cadre du présent projet de plan de redressement par voie de continuation, il convient de préciser que le passif retenu, dans </w:t>
      </w:r>
      <w:r w:rsidR="00565DB1" w:rsidRPr="00C11DED">
        <w:t xml:space="preserve">les </w:t>
      </w:r>
      <w:r w:rsidRPr="00C11DED">
        <w:t xml:space="preserve">travaux réalisés par le cabinet </w:t>
      </w:r>
      <w:proofErr w:type="spellStart"/>
      <w:r w:rsidRPr="00C11DED">
        <w:t>Accuracy</w:t>
      </w:r>
      <w:proofErr w:type="spellEnd"/>
      <w:r w:rsidRPr="00C11DED">
        <w:t xml:space="preserve">, est de </w:t>
      </w:r>
      <w:r w:rsidR="00285F13" w:rsidRPr="00C11DED">
        <w:t>192</w:t>
      </w:r>
      <w:r w:rsidRPr="00C11DED">
        <w:t xml:space="preserve">k€. </w:t>
      </w:r>
    </w:p>
    <w:p w14:paraId="6BEE3443" w14:textId="77777777" w:rsidR="00142459" w:rsidRPr="00370DD0" w:rsidRDefault="00142459" w:rsidP="00C11DED">
      <w:pPr>
        <w:pStyle w:val="2MAJ-adresse"/>
      </w:pPr>
    </w:p>
    <w:p w14:paraId="2B1913F3" w14:textId="664FD276" w:rsidR="00142459" w:rsidRPr="00370DD0" w:rsidRDefault="00142459" w:rsidP="00C11DED">
      <w:pPr>
        <w:pStyle w:val="2MAJ-adresse"/>
      </w:pPr>
      <w:r w:rsidRPr="00370DD0">
        <w:t xml:space="preserve">Ce montant correspondant au passif déclaré entre les mains du mandataire judiciaire, auquel s’ajoute les intérêts à échoir de la période d’observation </w:t>
      </w:r>
      <w:r w:rsidR="00565DB1" w:rsidRPr="00370DD0">
        <w:t>et sur la durée</w:t>
      </w:r>
      <w:r w:rsidRPr="00370DD0">
        <w:t xml:space="preserve"> </w:t>
      </w:r>
      <w:r w:rsidR="00565DB1" w:rsidRPr="00370DD0">
        <w:t>du</w:t>
      </w:r>
      <w:r w:rsidRPr="00370DD0">
        <w:t xml:space="preserve"> plan, dont le détail est présenté ci-après :</w:t>
      </w:r>
    </w:p>
    <w:p w14:paraId="7338B853" w14:textId="77777777" w:rsidR="00142459" w:rsidRDefault="00142459" w:rsidP="00C11DED">
      <w:pPr>
        <w:pStyle w:val="2MAJ-adresse"/>
      </w:pPr>
    </w:p>
    <w:tbl>
      <w:tblPr>
        <w:tblStyle w:val="Grilledutableau"/>
        <w:tblW w:w="10787" w:type="dxa"/>
        <w:tblInd w:w="-998" w:type="dxa"/>
        <w:tblLook w:val="04A0" w:firstRow="1" w:lastRow="0" w:firstColumn="1" w:lastColumn="0" w:noHBand="0" w:noVBand="1"/>
      </w:tblPr>
      <w:tblGrid>
        <w:gridCol w:w="1002"/>
        <w:gridCol w:w="987"/>
        <w:gridCol w:w="1439"/>
        <w:gridCol w:w="954"/>
        <w:gridCol w:w="1431"/>
        <w:gridCol w:w="1012"/>
        <w:gridCol w:w="1024"/>
        <w:gridCol w:w="1082"/>
        <w:gridCol w:w="950"/>
        <w:gridCol w:w="906"/>
      </w:tblGrid>
      <w:tr w:rsidR="00934980" w:rsidRPr="00555294" w14:paraId="329B4F0F" w14:textId="191EF7C7" w:rsidTr="00A83E39">
        <w:tc>
          <w:tcPr>
            <w:tcW w:w="1002" w:type="dxa"/>
            <w:shd w:val="clear" w:color="auto" w:fill="FFC000"/>
            <w:vAlign w:val="center"/>
          </w:tcPr>
          <w:p w14:paraId="56F32CAA" w14:textId="14E3F449" w:rsidR="00934980" w:rsidRPr="00A83E39" w:rsidRDefault="00934980" w:rsidP="00C11DED">
            <w:pPr>
              <w:pStyle w:val="2MAJ-adresse"/>
            </w:pPr>
            <w:r w:rsidRPr="00A83E39">
              <w:t>En k€</w:t>
            </w:r>
          </w:p>
        </w:tc>
        <w:tc>
          <w:tcPr>
            <w:tcW w:w="987" w:type="dxa"/>
            <w:shd w:val="clear" w:color="auto" w:fill="FFC000"/>
            <w:vAlign w:val="center"/>
          </w:tcPr>
          <w:p w14:paraId="4A054E3F" w14:textId="0A6334A8" w:rsidR="00934980" w:rsidRPr="00A83E39" w:rsidRDefault="00934980" w:rsidP="00C11DED">
            <w:pPr>
              <w:pStyle w:val="2MAJ-adresse"/>
            </w:pPr>
            <w:r w:rsidRPr="00A83E39">
              <w:t>Passif déclaré MJ</w:t>
            </w:r>
          </w:p>
        </w:tc>
        <w:tc>
          <w:tcPr>
            <w:tcW w:w="1439" w:type="dxa"/>
            <w:shd w:val="clear" w:color="auto" w:fill="FFC000"/>
            <w:vAlign w:val="center"/>
          </w:tcPr>
          <w:p w14:paraId="62C60360" w14:textId="08FA0F4C" w:rsidR="00934980" w:rsidRPr="00A83E39" w:rsidRDefault="00934980" w:rsidP="00C11DED">
            <w:pPr>
              <w:pStyle w:val="2MAJ-adresse"/>
            </w:pPr>
            <w:r w:rsidRPr="00A83E39">
              <w:t>Retraitement intragroupe</w:t>
            </w:r>
          </w:p>
        </w:tc>
        <w:tc>
          <w:tcPr>
            <w:tcW w:w="954" w:type="dxa"/>
            <w:shd w:val="clear" w:color="auto" w:fill="FFC000"/>
            <w:vAlign w:val="center"/>
          </w:tcPr>
          <w:p w14:paraId="48858864" w14:textId="64F8D061" w:rsidR="00934980" w:rsidRPr="00A83E39" w:rsidRDefault="00934980" w:rsidP="00C11DED">
            <w:pPr>
              <w:pStyle w:val="2MAJ-adresse"/>
            </w:pPr>
            <w:r w:rsidRPr="007F69D5">
              <w:t xml:space="preserve">Intérêts à échoir PO </w:t>
            </w:r>
            <w:r w:rsidR="00A83E39" w:rsidRPr="00A83E39">
              <w:t>et</w:t>
            </w:r>
            <w:r w:rsidRPr="007F69D5">
              <w:t xml:space="preserve"> Plan </w:t>
            </w:r>
          </w:p>
        </w:tc>
        <w:tc>
          <w:tcPr>
            <w:tcW w:w="1431" w:type="dxa"/>
            <w:shd w:val="clear" w:color="auto" w:fill="FFC000"/>
            <w:vAlign w:val="center"/>
          </w:tcPr>
          <w:p w14:paraId="5D98340D" w14:textId="77777777" w:rsidR="00A83E39" w:rsidRDefault="00934980" w:rsidP="00C11DED">
            <w:pPr>
              <w:pStyle w:val="2MAJ-adresse"/>
            </w:pPr>
            <w:r w:rsidRPr="00A83E39">
              <w:t>Passif</w:t>
            </w:r>
            <w:r w:rsidR="00A83E39">
              <w:t xml:space="preserve"> </w:t>
            </w:r>
            <w:r w:rsidRPr="00A83E39">
              <w:t>déclaré</w:t>
            </w:r>
            <w:r w:rsidR="00A83E39">
              <w:t xml:space="preserve"> </w:t>
            </w:r>
            <w:r w:rsidRPr="00A83E39">
              <w:t>retraité</w:t>
            </w:r>
          </w:p>
          <w:p w14:paraId="4897B495" w14:textId="4B4220F2" w:rsidR="00934980" w:rsidRPr="00A83E39" w:rsidRDefault="00934980" w:rsidP="00C11DED">
            <w:pPr>
              <w:pStyle w:val="2MAJ-adresse"/>
            </w:pPr>
            <w:r w:rsidRPr="00A83E39">
              <w:t>(</w:t>
            </w:r>
            <w:proofErr w:type="gramStart"/>
            <w:r w:rsidRPr="00A83E39">
              <w:t>incl.</w:t>
            </w:r>
            <w:proofErr w:type="gramEnd"/>
            <w:r w:rsidRPr="00A83E39">
              <w:t xml:space="preserve"> </w:t>
            </w:r>
            <w:proofErr w:type="spellStart"/>
            <w:r w:rsidRPr="00A83E39">
              <w:t>int</w:t>
            </w:r>
            <w:proofErr w:type="spellEnd"/>
            <w:r w:rsidRPr="00A83E39">
              <w:t xml:space="preserve">. </w:t>
            </w:r>
            <w:r w:rsidR="00A83E39">
              <w:t xml:space="preserve"> </w:t>
            </w:r>
            <w:proofErr w:type="gramStart"/>
            <w:r w:rsidRPr="00A83E39">
              <w:t>échoir</w:t>
            </w:r>
            <w:proofErr w:type="gramEnd"/>
            <w:r w:rsidRPr="00A83E39">
              <w:t>)</w:t>
            </w:r>
          </w:p>
        </w:tc>
        <w:tc>
          <w:tcPr>
            <w:tcW w:w="1012" w:type="dxa"/>
            <w:shd w:val="clear" w:color="auto" w:fill="FFC000"/>
            <w:vAlign w:val="center"/>
          </w:tcPr>
          <w:p w14:paraId="7EF78EF8" w14:textId="1C7588FE" w:rsidR="00934980" w:rsidRPr="00145664" w:rsidRDefault="00934980" w:rsidP="00C11DED">
            <w:pPr>
              <w:pStyle w:val="2MAJ-adresse"/>
              <w:rPr>
                <w:i/>
                <w:iCs/>
              </w:rPr>
            </w:pPr>
            <w:r w:rsidRPr="00145664">
              <w:rPr>
                <w:i/>
                <w:iCs/>
              </w:rPr>
              <w:t>Dont principal</w:t>
            </w:r>
          </w:p>
        </w:tc>
        <w:tc>
          <w:tcPr>
            <w:tcW w:w="1024" w:type="dxa"/>
            <w:shd w:val="clear" w:color="auto" w:fill="FFC000"/>
            <w:vAlign w:val="center"/>
          </w:tcPr>
          <w:p w14:paraId="7A34ADEF" w14:textId="46F8DEE8" w:rsidR="00934980" w:rsidRPr="00145664" w:rsidRDefault="00934980" w:rsidP="00C11DED">
            <w:pPr>
              <w:pStyle w:val="2MAJ-adresse"/>
              <w:rPr>
                <w:i/>
                <w:iCs/>
              </w:rPr>
            </w:pPr>
            <w:r w:rsidRPr="00145664">
              <w:rPr>
                <w:i/>
                <w:iCs/>
              </w:rPr>
              <w:t>Dont autres passifs</w:t>
            </w:r>
          </w:p>
        </w:tc>
        <w:tc>
          <w:tcPr>
            <w:tcW w:w="1082" w:type="dxa"/>
            <w:shd w:val="clear" w:color="auto" w:fill="FFC000"/>
            <w:vAlign w:val="center"/>
          </w:tcPr>
          <w:p w14:paraId="268E0D27" w14:textId="6693824D" w:rsidR="00934980" w:rsidRPr="00145664" w:rsidRDefault="00934980" w:rsidP="00C11DED">
            <w:pPr>
              <w:pStyle w:val="2MAJ-adresse"/>
              <w:rPr>
                <w:i/>
                <w:iCs/>
              </w:rPr>
            </w:pPr>
            <w:r w:rsidRPr="00145664">
              <w:rPr>
                <w:i/>
                <w:iCs/>
              </w:rPr>
              <w:t>Intérêts à échoir – PO</w:t>
            </w:r>
          </w:p>
        </w:tc>
        <w:tc>
          <w:tcPr>
            <w:tcW w:w="950" w:type="dxa"/>
            <w:shd w:val="clear" w:color="auto" w:fill="FFC000"/>
            <w:vAlign w:val="center"/>
          </w:tcPr>
          <w:p w14:paraId="41C0D273" w14:textId="556C0C90" w:rsidR="00934980" w:rsidRPr="00145664" w:rsidRDefault="00934980" w:rsidP="00C11DED">
            <w:pPr>
              <w:pStyle w:val="2MAJ-adresse"/>
              <w:rPr>
                <w:i/>
                <w:iCs/>
              </w:rPr>
            </w:pPr>
            <w:r w:rsidRPr="00145664">
              <w:rPr>
                <w:i/>
                <w:iCs/>
              </w:rPr>
              <w:t>Intérêts à échoir – Plan</w:t>
            </w:r>
          </w:p>
        </w:tc>
        <w:tc>
          <w:tcPr>
            <w:tcW w:w="906" w:type="dxa"/>
            <w:shd w:val="clear" w:color="auto" w:fill="FFC000"/>
            <w:vAlign w:val="center"/>
          </w:tcPr>
          <w:p w14:paraId="54144065" w14:textId="78CEAAE4" w:rsidR="00934980" w:rsidRPr="00A83E39" w:rsidRDefault="00934980" w:rsidP="00C11DED">
            <w:pPr>
              <w:pStyle w:val="2MAJ-adresse"/>
            </w:pPr>
            <w:r w:rsidRPr="00A83E39">
              <w:t>Passif retenu - Plan</w:t>
            </w:r>
          </w:p>
        </w:tc>
      </w:tr>
      <w:tr w:rsidR="00934980" w:rsidRPr="00555294" w14:paraId="5669EE17" w14:textId="27F737E3" w:rsidTr="005A5086">
        <w:tc>
          <w:tcPr>
            <w:tcW w:w="1002" w:type="dxa"/>
            <w:shd w:val="clear" w:color="auto" w:fill="FFC000"/>
            <w:vAlign w:val="center"/>
          </w:tcPr>
          <w:p w14:paraId="0B34CDA4" w14:textId="0B429805" w:rsidR="00934980" w:rsidRPr="00A83E39" w:rsidRDefault="00A83E39" w:rsidP="00C11DED">
            <w:pPr>
              <w:pStyle w:val="2MAJ-adresse"/>
            </w:pPr>
            <w:r w:rsidRPr="00A83E39">
              <w:t>SCI Tolbiac</w:t>
            </w:r>
          </w:p>
        </w:tc>
        <w:tc>
          <w:tcPr>
            <w:tcW w:w="987" w:type="dxa"/>
            <w:vAlign w:val="center"/>
          </w:tcPr>
          <w:p w14:paraId="03C1C23B" w14:textId="3CD50690" w:rsidR="00934980" w:rsidRPr="00A83E39" w:rsidRDefault="00934980" w:rsidP="003459A5">
            <w:pPr>
              <w:pStyle w:val="2MAJ-paragraphe"/>
            </w:pPr>
            <w:r w:rsidRPr="00A83E39">
              <w:t>176</w:t>
            </w:r>
          </w:p>
        </w:tc>
        <w:tc>
          <w:tcPr>
            <w:tcW w:w="1439" w:type="dxa"/>
            <w:vAlign w:val="center"/>
          </w:tcPr>
          <w:p w14:paraId="3E86D253" w14:textId="00922BAF" w:rsidR="00934980" w:rsidRPr="00A83E39" w:rsidRDefault="00934980" w:rsidP="003459A5">
            <w:pPr>
              <w:pStyle w:val="2MAJ-paragraphe"/>
            </w:pPr>
            <w:r w:rsidRPr="00A83E39">
              <w:t>(2)</w:t>
            </w:r>
          </w:p>
        </w:tc>
        <w:tc>
          <w:tcPr>
            <w:tcW w:w="954" w:type="dxa"/>
            <w:vAlign w:val="center"/>
          </w:tcPr>
          <w:p w14:paraId="20313234" w14:textId="01892FBD" w:rsidR="00934980" w:rsidRPr="00A83E39" w:rsidRDefault="00934980" w:rsidP="003459A5">
            <w:pPr>
              <w:pStyle w:val="2MAJ-paragraphe"/>
            </w:pPr>
            <w:r w:rsidRPr="00A83E39">
              <w:t>18</w:t>
            </w:r>
          </w:p>
        </w:tc>
        <w:tc>
          <w:tcPr>
            <w:tcW w:w="1431" w:type="dxa"/>
            <w:vAlign w:val="center"/>
          </w:tcPr>
          <w:p w14:paraId="3B450702" w14:textId="1761DB92" w:rsidR="00934980" w:rsidRPr="00A83E39" w:rsidRDefault="00934980" w:rsidP="003459A5">
            <w:pPr>
              <w:pStyle w:val="2MAJ-paragraphe"/>
            </w:pPr>
            <w:r w:rsidRPr="00A83E39">
              <w:t>192</w:t>
            </w:r>
          </w:p>
        </w:tc>
        <w:tc>
          <w:tcPr>
            <w:tcW w:w="1012" w:type="dxa"/>
            <w:shd w:val="clear" w:color="auto" w:fill="E8E8E8" w:themeFill="background2"/>
            <w:vAlign w:val="center"/>
          </w:tcPr>
          <w:p w14:paraId="622AACB2" w14:textId="46EF1F66" w:rsidR="00934980" w:rsidRPr="00145664" w:rsidRDefault="00A83E39" w:rsidP="003459A5">
            <w:pPr>
              <w:pStyle w:val="2MAJ-paragraphe"/>
              <w:rPr>
                <w:i/>
                <w:iCs/>
              </w:rPr>
            </w:pPr>
            <w:r w:rsidRPr="00145664">
              <w:rPr>
                <w:i/>
                <w:iCs/>
              </w:rPr>
              <w:t>165</w:t>
            </w:r>
          </w:p>
        </w:tc>
        <w:tc>
          <w:tcPr>
            <w:tcW w:w="1024" w:type="dxa"/>
            <w:shd w:val="clear" w:color="auto" w:fill="E8E8E8" w:themeFill="background2"/>
            <w:vAlign w:val="center"/>
          </w:tcPr>
          <w:p w14:paraId="1A3001C2" w14:textId="7E43DD41" w:rsidR="00934980" w:rsidRPr="00145664" w:rsidRDefault="00A83E39" w:rsidP="003459A5">
            <w:pPr>
              <w:pStyle w:val="2MAJ-paragraphe"/>
              <w:rPr>
                <w:i/>
                <w:iCs/>
              </w:rPr>
            </w:pPr>
            <w:r w:rsidRPr="00145664">
              <w:rPr>
                <w:i/>
                <w:iCs/>
              </w:rPr>
              <w:t>9</w:t>
            </w:r>
          </w:p>
        </w:tc>
        <w:tc>
          <w:tcPr>
            <w:tcW w:w="1082" w:type="dxa"/>
            <w:shd w:val="clear" w:color="auto" w:fill="E8E8E8" w:themeFill="background2"/>
            <w:vAlign w:val="center"/>
          </w:tcPr>
          <w:p w14:paraId="6BDE9E40" w14:textId="4B911AFF" w:rsidR="00934980" w:rsidRPr="00145664" w:rsidRDefault="00934980" w:rsidP="003459A5">
            <w:pPr>
              <w:pStyle w:val="2MAJ-paragraphe"/>
              <w:rPr>
                <w:i/>
                <w:iCs/>
              </w:rPr>
            </w:pPr>
            <w:r w:rsidRPr="00145664">
              <w:rPr>
                <w:i/>
                <w:iCs/>
              </w:rPr>
              <w:t>3</w:t>
            </w:r>
          </w:p>
        </w:tc>
        <w:tc>
          <w:tcPr>
            <w:tcW w:w="950" w:type="dxa"/>
            <w:shd w:val="clear" w:color="auto" w:fill="E8E8E8" w:themeFill="background2"/>
            <w:vAlign w:val="center"/>
          </w:tcPr>
          <w:p w14:paraId="161A9C83" w14:textId="430C0620" w:rsidR="00934980" w:rsidRPr="00145664" w:rsidRDefault="00934980" w:rsidP="003459A5">
            <w:pPr>
              <w:pStyle w:val="2MAJ-paragraphe"/>
              <w:rPr>
                <w:i/>
                <w:iCs/>
              </w:rPr>
            </w:pPr>
            <w:r w:rsidRPr="00145664">
              <w:rPr>
                <w:i/>
                <w:iCs/>
              </w:rPr>
              <w:t>16</w:t>
            </w:r>
          </w:p>
        </w:tc>
        <w:tc>
          <w:tcPr>
            <w:tcW w:w="906" w:type="dxa"/>
            <w:vAlign w:val="center"/>
          </w:tcPr>
          <w:p w14:paraId="5227C718" w14:textId="56887539" w:rsidR="00934980" w:rsidRPr="000B2C0F" w:rsidRDefault="00934980" w:rsidP="003459A5">
            <w:pPr>
              <w:pStyle w:val="2MAJ-paragraphe"/>
              <w:rPr>
                <w:b/>
                <w:bCs/>
              </w:rPr>
            </w:pPr>
            <w:r w:rsidRPr="000B2C0F">
              <w:rPr>
                <w:b/>
                <w:bCs/>
              </w:rPr>
              <w:t>192</w:t>
            </w:r>
          </w:p>
        </w:tc>
      </w:tr>
    </w:tbl>
    <w:p w14:paraId="53F60462" w14:textId="77777777" w:rsidR="00142459" w:rsidRDefault="00142459" w:rsidP="00C11DED">
      <w:pPr>
        <w:pStyle w:val="2MAJ-adresse"/>
      </w:pPr>
    </w:p>
    <w:p w14:paraId="5FC3DC77" w14:textId="77777777" w:rsidR="000A77C5" w:rsidRDefault="000A77C5">
      <w:pPr>
        <w:spacing w:after="160" w:line="259" w:lineRule="auto"/>
        <w:rPr>
          <w:rFonts w:ascii="Calibri" w:hAnsi="Calibri" w:cs="Calibri"/>
          <w:b/>
          <w:sz w:val="22"/>
          <w:szCs w:val="22"/>
        </w:rPr>
      </w:pPr>
      <w:bookmarkStart w:id="36" w:name="_Toc204944192"/>
      <w:r>
        <w:rPr>
          <w:rFonts w:ascii="Calibri" w:hAnsi="Calibri" w:cs="Calibri"/>
          <w:b/>
          <w:sz w:val="22"/>
          <w:szCs w:val="22"/>
        </w:rPr>
        <w:br w:type="page"/>
      </w:r>
    </w:p>
    <w:p w14:paraId="3C4F7E85" w14:textId="2DC4537E" w:rsidR="004E5FF2" w:rsidRPr="004E5FF2" w:rsidRDefault="004E5FF2" w:rsidP="00B132A0">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37" w:name="_Toc222908294"/>
      <w:r w:rsidRPr="004E5FF2">
        <w:rPr>
          <w:rFonts w:ascii="Calibri" w:hAnsi="Calibri" w:cs="Calibri"/>
          <w:b/>
          <w:sz w:val="22"/>
          <w:szCs w:val="22"/>
        </w:rPr>
        <w:lastRenderedPageBreak/>
        <w:t>DEROULEMENT DE LA PERIODE D’OBSERVATION</w:t>
      </w:r>
      <w:bookmarkEnd w:id="36"/>
      <w:bookmarkEnd w:id="37"/>
    </w:p>
    <w:p w14:paraId="65244A9E" w14:textId="77777777" w:rsidR="004E5FF2" w:rsidRDefault="004E5FF2" w:rsidP="00C11DED">
      <w:pPr>
        <w:pStyle w:val="2MAJ-adresse"/>
      </w:pPr>
    </w:p>
    <w:p w14:paraId="7C31175A" w14:textId="77777777" w:rsidR="00AA1F16" w:rsidRPr="002C1C9E" w:rsidRDefault="00AA1F16" w:rsidP="00C11DED">
      <w:pPr>
        <w:pStyle w:val="2MAJ-adresse"/>
        <w:numPr>
          <w:ilvl w:val="1"/>
          <w:numId w:val="9"/>
        </w:numPr>
      </w:pPr>
      <w:r w:rsidRPr="002C1C9E">
        <w:t>Valorisation des actifs immobiliers – désignation d’un technicien</w:t>
      </w:r>
    </w:p>
    <w:p w14:paraId="0259DAE6" w14:textId="77777777" w:rsidR="00AA1F16" w:rsidRDefault="00AA1F16" w:rsidP="003459A5">
      <w:pPr>
        <w:pStyle w:val="2MAJ-paragraphe"/>
      </w:pPr>
    </w:p>
    <w:p w14:paraId="64BCF4A0" w14:textId="77777777" w:rsidR="00D6342F" w:rsidRPr="00AA00DE" w:rsidRDefault="00D6342F" w:rsidP="00D6342F">
      <w:pPr>
        <w:pStyle w:val="2MAJ-paragraphe"/>
      </w:pPr>
      <w:r w:rsidRPr="00AA00DE">
        <w:t>24 avril 2025 et 12 jugements du 15 mai 2025, 30 procédures de redressement judiciaire ont été ouvertes à l’égard des sociétés du Groupe.</w:t>
      </w:r>
    </w:p>
    <w:p w14:paraId="400196AF" w14:textId="77777777" w:rsidR="00D6342F" w:rsidRPr="00AA00DE" w:rsidRDefault="00D6342F" w:rsidP="00D6342F">
      <w:pPr>
        <w:pStyle w:val="2MAJ-paragraphe"/>
      </w:pPr>
    </w:p>
    <w:p w14:paraId="17FE9B62" w14:textId="77777777" w:rsidR="00D6342F" w:rsidRPr="00AA00DE" w:rsidRDefault="00D6342F" w:rsidP="00D6342F">
      <w:pPr>
        <w:pStyle w:val="2MAJ-paragraphe"/>
      </w:pPr>
      <w:r w:rsidRPr="00AA00DE">
        <w:t xml:space="preserve">Depuis l’ouverture des procédures collectives, l’ensemble des organes de la procédure </w:t>
      </w:r>
      <w:r>
        <w:t>a</w:t>
      </w:r>
      <w:r w:rsidRPr="00AA00DE">
        <w:t xml:space="preserve"> échangé à de nombreuses reprises avec le management du Groupe et ses conseils afin d’établir une cartographie précise des actifs détenus par les différentes sociétés du Groupe et de l’endettement de chaque société.</w:t>
      </w:r>
    </w:p>
    <w:p w14:paraId="1D9BAFFB" w14:textId="77777777" w:rsidR="00D6342F" w:rsidRPr="00AA00DE" w:rsidRDefault="00D6342F" w:rsidP="00D6342F">
      <w:pPr>
        <w:pStyle w:val="2MAJ-paragraphe"/>
      </w:pPr>
    </w:p>
    <w:p w14:paraId="78BAFE8E" w14:textId="77777777" w:rsidR="00D6342F" w:rsidRPr="00AA00DE" w:rsidRDefault="00D6342F" w:rsidP="00D6342F">
      <w:pPr>
        <w:pStyle w:val="2MAJ-paragraphe"/>
      </w:pPr>
      <w:r w:rsidRPr="00AA00DE">
        <w:t>Ainsi, il a rapidement été fait le constat que la présentation de projets de plan de redressement par voie de continuation ne pourrait être envisagée qu’avec une cession ou le refinancement des actifs immobiliers du Groupe.</w:t>
      </w:r>
    </w:p>
    <w:p w14:paraId="38C48DA4" w14:textId="77777777" w:rsidR="00D6342F" w:rsidRPr="00AA00DE" w:rsidRDefault="00D6342F" w:rsidP="00D6342F">
      <w:pPr>
        <w:pStyle w:val="2MAJ-paragraphe"/>
      </w:pPr>
    </w:p>
    <w:p w14:paraId="677A9063" w14:textId="77777777" w:rsidR="00D6342F" w:rsidRDefault="00D6342F" w:rsidP="00D6342F">
      <w:pPr>
        <w:pStyle w:val="2MAJ-paragraphe"/>
      </w:pPr>
      <w:r w:rsidRPr="00AA00DE">
        <w:t>Dans ce contexte, par ordonnance en date du 27 juin 2025, Monsieur le Juge-commissaire a désigné le cabinet Colomer Expertises, pris en la personne de Monsieur Patrick Colomer, en qualité de technicien, ayant pour mission de valoriser l’ensemble des actifs immobiliers détenus par les 30 sociétés du Groupe, placées en procédure de redressement judiciaire, que ce soient les actifs devant faire l’objet d’une cession ou les actifs faisant l’objet d’une continuité d’exploitation.</w:t>
      </w:r>
    </w:p>
    <w:p w14:paraId="64020E90" w14:textId="77777777" w:rsidR="00D6342F" w:rsidRDefault="00D6342F" w:rsidP="00D6342F">
      <w:pPr>
        <w:pStyle w:val="2MAJ-paragraphe"/>
      </w:pPr>
    </w:p>
    <w:p w14:paraId="3DF59A08" w14:textId="77777777" w:rsidR="00D6342F" w:rsidRPr="005E2339" w:rsidRDefault="00D6342F" w:rsidP="00D6342F">
      <w:pPr>
        <w:pStyle w:val="2MAJ-paragraphe"/>
      </w:pPr>
      <w:r w:rsidRPr="005E2339">
        <w:t>Le 9 septembre 2025, le cabinet Colomer Expertises a rendu son rapport définitif dont il ressort les valorisations suivantes des actifs immobiliers des 30 sociétés du Groupe en procédure collective</w:t>
      </w:r>
      <w:r>
        <w:t xml:space="preserve"> </w:t>
      </w:r>
      <w:r w:rsidRPr="005E2339">
        <w:t>:</w:t>
      </w:r>
    </w:p>
    <w:p w14:paraId="1222F814" w14:textId="77777777" w:rsidR="00D6342F" w:rsidRPr="005E2339" w:rsidRDefault="00D6342F" w:rsidP="00D6342F">
      <w:pPr>
        <w:pStyle w:val="2MAJ-paragraphe"/>
      </w:pPr>
    </w:p>
    <w:p w14:paraId="6293E291" w14:textId="77777777" w:rsidR="00D6342F" w:rsidRPr="008044FC" w:rsidRDefault="00D6342F" w:rsidP="00D6342F">
      <w:pPr>
        <w:pStyle w:val="2MAJ-paragraphe"/>
        <w:rPr>
          <w:lang w:bidi="fr-FR"/>
        </w:rPr>
      </w:pPr>
      <w:r w:rsidRPr="005E2339">
        <w:rPr>
          <w:noProof/>
          <w:lang w:bidi="fr-FR"/>
        </w:rPr>
        <w:drawing>
          <wp:inline distT="0" distB="0" distL="0" distR="0" wp14:anchorId="541ACD28" wp14:editId="233D4B27">
            <wp:extent cx="5760720" cy="1191260"/>
            <wp:effectExtent l="0" t="0" r="0" b="8890"/>
            <wp:docPr id="992375020"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75020" name="Image 1" descr="Une image contenant texte, capture d’écran, Police, nombre&#10;&#10;Le contenu généré par l’IA peut être incorrect."/>
                    <pic:cNvPicPr/>
                  </pic:nvPicPr>
                  <pic:blipFill>
                    <a:blip r:embed="rId10"/>
                    <a:stretch>
                      <a:fillRect/>
                    </a:stretch>
                  </pic:blipFill>
                  <pic:spPr>
                    <a:xfrm>
                      <a:off x="0" y="0"/>
                      <a:ext cx="5760720" cy="1191260"/>
                    </a:xfrm>
                    <a:prstGeom prst="rect">
                      <a:avLst/>
                    </a:prstGeom>
                  </pic:spPr>
                </pic:pic>
              </a:graphicData>
            </a:graphic>
          </wp:inline>
        </w:drawing>
      </w:r>
    </w:p>
    <w:p w14:paraId="5E67C391" w14:textId="77777777" w:rsidR="00D6342F" w:rsidRPr="00AA00DE" w:rsidRDefault="00D6342F" w:rsidP="00D6342F">
      <w:pPr>
        <w:pStyle w:val="2MAJ-adresse"/>
      </w:pPr>
    </w:p>
    <w:p w14:paraId="4DC68B49" w14:textId="77777777" w:rsidR="00D6342F" w:rsidRDefault="00D6342F" w:rsidP="00D6342F">
      <w:pPr>
        <w:pStyle w:val="2MAJ-paragraphe"/>
      </w:pPr>
      <w:r w:rsidRPr="00AA00DE">
        <w:t>Il convient de préciser que le cabinet Colomer Expertises a estimé la valeur</w:t>
      </w:r>
      <w:r>
        <w:t xml:space="preserve"> des actifs immobiliers du Groupe</w:t>
      </w:r>
      <w:r w:rsidRPr="00AA00DE">
        <w:t xml:space="preserve"> à 64m€ (décote de 25%) dans l’hypothèse d’une vente en bloc contrainte.</w:t>
      </w:r>
    </w:p>
    <w:p w14:paraId="7535A08D" w14:textId="77777777" w:rsidR="00AA00DE" w:rsidRDefault="00AA00DE" w:rsidP="003459A5">
      <w:pPr>
        <w:pStyle w:val="2MAJ-paragraphe"/>
      </w:pPr>
    </w:p>
    <w:p w14:paraId="2BE8EA63" w14:textId="61475D5D" w:rsidR="00AA1F16" w:rsidRPr="003459A5" w:rsidRDefault="00AA1F16" w:rsidP="003459A5">
      <w:pPr>
        <w:pStyle w:val="2MAJ-paragraphe"/>
      </w:pPr>
      <w:r w:rsidRPr="003459A5">
        <w:t xml:space="preserve">Concernant la société </w:t>
      </w:r>
      <w:r w:rsidR="003459A5">
        <w:t>SCI Tolbiac</w:t>
      </w:r>
      <w:r w:rsidRPr="003459A5">
        <w:t>, il ressort les principales caractéristiques suivantes :</w:t>
      </w:r>
    </w:p>
    <w:p w14:paraId="2174AF7C" w14:textId="77777777" w:rsidR="00AA1F16" w:rsidRDefault="00AA1F16" w:rsidP="003459A5">
      <w:pPr>
        <w:pStyle w:val="2MAJ-paragraphe"/>
      </w:pPr>
    </w:p>
    <w:tbl>
      <w:tblPr>
        <w:tblStyle w:val="Grilledutableau"/>
        <w:tblW w:w="5238" w:type="dxa"/>
        <w:jc w:val="center"/>
        <w:tblLook w:val="04A0" w:firstRow="1" w:lastRow="0" w:firstColumn="1" w:lastColumn="0" w:noHBand="0" w:noVBand="1"/>
      </w:tblPr>
      <w:tblGrid>
        <w:gridCol w:w="2972"/>
        <w:gridCol w:w="2266"/>
      </w:tblGrid>
      <w:tr w:rsidR="002F19D6" w:rsidRPr="006115E8" w14:paraId="6C99BE9D" w14:textId="77777777" w:rsidTr="00D67734">
        <w:trPr>
          <w:jc w:val="center"/>
        </w:trPr>
        <w:tc>
          <w:tcPr>
            <w:tcW w:w="2972" w:type="dxa"/>
            <w:shd w:val="clear" w:color="auto" w:fill="FFC000"/>
            <w:vAlign w:val="center"/>
          </w:tcPr>
          <w:p w14:paraId="147CE185" w14:textId="47A3C8F8" w:rsidR="002F19D6" w:rsidRPr="006115E8" w:rsidRDefault="002F19D6" w:rsidP="00C11DED">
            <w:pPr>
              <w:pStyle w:val="2MAJ-adresse"/>
            </w:pPr>
            <w:r w:rsidRPr="006115E8">
              <w:t>Actif</w:t>
            </w:r>
          </w:p>
        </w:tc>
        <w:tc>
          <w:tcPr>
            <w:tcW w:w="2266" w:type="dxa"/>
            <w:shd w:val="clear" w:color="auto" w:fill="FFC000"/>
            <w:vAlign w:val="center"/>
          </w:tcPr>
          <w:p w14:paraId="76E9EE56" w14:textId="77777777" w:rsidR="002F19D6" w:rsidRPr="006115E8" w:rsidRDefault="002F19D6" w:rsidP="00C11DED">
            <w:pPr>
              <w:pStyle w:val="2MAJ-adresse"/>
            </w:pPr>
            <w:r w:rsidRPr="006115E8">
              <w:t>Valeur vénale</w:t>
            </w:r>
          </w:p>
        </w:tc>
      </w:tr>
      <w:tr w:rsidR="002F19D6" w:rsidRPr="006115E8" w14:paraId="75F79B8A" w14:textId="77777777" w:rsidTr="00D67734">
        <w:trPr>
          <w:jc w:val="center"/>
        </w:trPr>
        <w:tc>
          <w:tcPr>
            <w:tcW w:w="2972" w:type="dxa"/>
            <w:vAlign w:val="center"/>
          </w:tcPr>
          <w:p w14:paraId="1C9FFFE7" w14:textId="05AEE3AB" w:rsidR="002F19D6" w:rsidRPr="00F8513F" w:rsidRDefault="002F19D6" w:rsidP="00D67734">
            <w:pPr>
              <w:pStyle w:val="2MAJ-adresse"/>
              <w:jc w:val="center"/>
            </w:pPr>
            <w:r>
              <w:t>Lot 4,7 et 22</w:t>
            </w:r>
          </w:p>
          <w:p w14:paraId="1D738F86" w14:textId="544B528F" w:rsidR="002F19D6" w:rsidRPr="0077788C" w:rsidRDefault="002F19D6" w:rsidP="00D67734">
            <w:pPr>
              <w:pStyle w:val="2MAJ-adresse"/>
              <w:jc w:val="center"/>
            </w:pPr>
            <w:r w:rsidRPr="0077788C">
              <w:t>39 rue Tolbiac, P</w:t>
            </w:r>
            <w:r w:rsidR="00D67734">
              <w:t>aris</w:t>
            </w:r>
            <w:r w:rsidRPr="0077788C">
              <w:t xml:space="preserve"> 13ème</w:t>
            </w:r>
          </w:p>
          <w:p w14:paraId="61328093" w14:textId="026970F1" w:rsidR="002F19D6" w:rsidRPr="006115E8" w:rsidRDefault="002F19D6" w:rsidP="00D67734">
            <w:pPr>
              <w:pStyle w:val="2MAJ-adresse"/>
              <w:jc w:val="center"/>
            </w:pPr>
            <w:r w:rsidRPr="0077788C">
              <w:t>(</w:t>
            </w:r>
            <w:r>
              <w:t>8</w:t>
            </w:r>
            <w:r w:rsidRPr="0077788C">
              <w:t>5</w:t>
            </w:r>
            <w:r>
              <w:t>,15</w:t>
            </w:r>
            <w:r w:rsidRPr="0077788C">
              <w:t>m²)</w:t>
            </w:r>
          </w:p>
        </w:tc>
        <w:tc>
          <w:tcPr>
            <w:tcW w:w="2266" w:type="dxa"/>
            <w:vAlign w:val="center"/>
          </w:tcPr>
          <w:p w14:paraId="3DD852FD" w14:textId="0F57F283" w:rsidR="002F19D6" w:rsidRPr="006115E8" w:rsidRDefault="002F19D6" w:rsidP="002F7AD9">
            <w:pPr>
              <w:pStyle w:val="Default"/>
              <w:jc w:val="center"/>
              <w:rPr>
                <w:sz w:val="22"/>
                <w:szCs w:val="22"/>
              </w:rPr>
            </w:pPr>
            <w:r>
              <w:rPr>
                <w:sz w:val="22"/>
                <w:szCs w:val="22"/>
              </w:rPr>
              <w:t>390 000 €</w:t>
            </w:r>
          </w:p>
        </w:tc>
      </w:tr>
      <w:tr w:rsidR="002F19D6" w:rsidRPr="006115E8" w14:paraId="2F94E083" w14:textId="77777777" w:rsidTr="00D67734">
        <w:trPr>
          <w:jc w:val="center"/>
        </w:trPr>
        <w:tc>
          <w:tcPr>
            <w:tcW w:w="2972" w:type="dxa"/>
            <w:vAlign w:val="center"/>
          </w:tcPr>
          <w:p w14:paraId="6110266E" w14:textId="512DCDF4" w:rsidR="002F19D6" w:rsidRPr="00F8513F" w:rsidRDefault="002F19D6" w:rsidP="00D67734">
            <w:pPr>
              <w:pStyle w:val="2MAJ-adresse"/>
              <w:jc w:val="center"/>
            </w:pPr>
            <w:r>
              <w:t>Lot 1 et 3</w:t>
            </w:r>
          </w:p>
          <w:p w14:paraId="1EAFA7A4" w14:textId="57E6AA2D" w:rsidR="002F19D6" w:rsidRPr="0077788C" w:rsidRDefault="002F19D6" w:rsidP="00D67734">
            <w:pPr>
              <w:pStyle w:val="2MAJ-adresse"/>
              <w:jc w:val="center"/>
            </w:pPr>
            <w:r w:rsidRPr="0077788C">
              <w:t>39 rue Tolbiac, P</w:t>
            </w:r>
            <w:r w:rsidR="00D67734">
              <w:t>aris</w:t>
            </w:r>
            <w:r w:rsidRPr="0077788C">
              <w:t xml:space="preserve"> 13ème</w:t>
            </w:r>
          </w:p>
          <w:p w14:paraId="4CD996C5" w14:textId="69EB4558" w:rsidR="002F19D6" w:rsidRPr="006115E8" w:rsidRDefault="002F19D6" w:rsidP="00D67734">
            <w:pPr>
              <w:pStyle w:val="2MAJ-adresse"/>
              <w:jc w:val="center"/>
            </w:pPr>
            <w:r w:rsidRPr="0077788C">
              <w:t>(32,10m²)</w:t>
            </w:r>
          </w:p>
        </w:tc>
        <w:tc>
          <w:tcPr>
            <w:tcW w:w="2266" w:type="dxa"/>
            <w:vAlign w:val="center"/>
          </w:tcPr>
          <w:p w14:paraId="2AF2D0A4" w14:textId="2053E2AE" w:rsidR="002F19D6" w:rsidRPr="006115E8" w:rsidRDefault="002F19D6" w:rsidP="002F7AD9">
            <w:pPr>
              <w:pStyle w:val="Default"/>
              <w:jc w:val="center"/>
              <w:rPr>
                <w:sz w:val="22"/>
                <w:szCs w:val="22"/>
              </w:rPr>
            </w:pPr>
            <w:r>
              <w:rPr>
                <w:sz w:val="22"/>
                <w:szCs w:val="22"/>
              </w:rPr>
              <w:t>190 000 €</w:t>
            </w:r>
          </w:p>
        </w:tc>
      </w:tr>
      <w:tr w:rsidR="002F19D6" w:rsidRPr="00484CF2" w14:paraId="70D9D372" w14:textId="77777777" w:rsidTr="00D67734">
        <w:trPr>
          <w:jc w:val="center"/>
        </w:trPr>
        <w:tc>
          <w:tcPr>
            <w:tcW w:w="2972" w:type="dxa"/>
            <w:shd w:val="clear" w:color="auto" w:fill="FFC000"/>
            <w:vAlign w:val="center"/>
          </w:tcPr>
          <w:p w14:paraId="71A4CEE2" w14:textId="1B1CCF0F" w:rsidR="002F19D6" w:rsidRPr="006115E8" w:rsidRDefault="002F19D6" w:rsidP="00C11DED">
            <w:pPr>
              <w:pStyle w:val="2MAJ-adresse"/>
            </w:pPr>
            <w:r w:rsidRPr="006115E8">
              <w:t>Total</w:t>
            </w:r>
          </w:p>
        </w:tc>
        <w:tc>
          <w:tcPr>
            <w:tcW w:w="2266" w:type="dxa"/>
            <w:shd w:val="clear" w:color="auto" w:fill="FFC000"/>
            <w:vAlign w:val="center"/>
          </w:tcPr>
          <w:p w14:paraId="06B49B80" w14:textId="4B495C57" w:rsidR="002F19D6" w:rsidRPr="006115E8" w:rsidRDefault="00713DF6" w:rsidP="00C11DED">
            <w:pPr>
              <w:pStyle w:val="2MAJ-adresse"/>
            </w:pPr>
            <w:r>
              <w:t>580 000 €</w:t>
            </w:r>
          </w:p>
        </w:tc>
      </w:tr>
    </w:tbl>
    <w:p w14:paraId="0FBDDBDF" w14:textId="77777777" w:rsidR="00AA1F16" w:rsidRDefault="00AA1F16" w:rsidP="00C11DED">
      <w:pPr>
        <w:pStyle w:val="2MAJ-adresse"/>
      </w:pPr>
    </w:p>
    <w:p w14:paraId="3B3888A6" w14:textId="4A5A356C" w:rsidR="00D6342F" w:rsidRDefault="00CF177A" w:rsidP="003459A5">
      <w:pPr>
        <w:pStyle w:val="2MAJ-paragraphe"/>
      </w:pPr>
      <w:r>
        <w:t xml:space="preserve">Le rapport </w:t>
      </w:r>
      <w:r w:rsidR="00A004A1">
        <w:t>du cabinet Colomer</w:t>
      </w:r>
      <w:r w:rsidR="00977898">
        <w:t xml:space="preserve"> portant sur les actifs détenus par la </w:t>
      </w:r>
      <w:r w:rsidR="00555294">
        <w:t>Société figure</w:t>
      </w:r>
      <w:r w:rsidR="00A004A1">
        <w:t xml:space="preserve"> en </w:t>
      </w:r>
      <w:r w:rsidR="00A004A1">
        <w:rPr>
          <w:b/>
          <w:bCs/>
          <w:i/>
          <w:iCs/>
          <w:u w:val="single"/>
        </w:rPr>
        <w:t xml:space="preserve">Annexe </w:t>
      </w:r>
      <w:r w:rsidR="00003C01">
        <w:rPr>
          <w:b/>
          <w:bCs/>
          <w:i/>
          <w:iCs/>
          <w:u w:val="single"/>
        </w:rPr>
        <w:t>3</w:t>
      </w:r>
      <w:r w:rsidR="00A004A1">
        <w:t>.</w:t>
      </w:r>
    </w:p>
    <w:p w14:paraId="10A5F950" w14:textId="7C79EB97" w:rsidR="00CF177A" w:rsidRPr="00D6342F" w:rsidRDefault="00D6342F" w:rsidP="00D6342F">
      <w:pPr>
        <w:spacing w:after="160" w:line="259" w:lineRule="auto"/>
        <w:rPr>
          <w:rFonts w:ascii="Calibri" w:hAnsi="Calibri" w:cs="Calibri"/>
          <w:sz w:val="22"/>
          <w:szCs w:val="22"/>
        </w:rPr>
      </w:pPr>
      <w:r>
        <w:br w:type="page"/>
      </w:r>
    </w:p>
    <w:p w14:paraId="427EB606" w14:textId="77777777" w:rsidR="00CF177A" w:rsidRPr="00CF177A" w:rsidRDefault="00CF177A" w:rsidP="003459A5">
      <w:pPr>
        <w:pStyle w:val="2MAJ-paragraphe"/>
      </w:pPr>
    </w:p>
    <w:p w14:paraId="00840040" w14:textId="75C21897" w:rsidR="0029623F" w:rsidRPr="0029623F" w:rsidRDefault="00B42688" w:rsidP="00C11DED">
      <w:pPr>
        <w:pStyle w:val="2MAJ-adresse"/>
        <w:numPr>
          <w:ilvl w:val="1"/>
          <w:numId w:val="9"/>
        </w:numPr>
      </w:pPr>
      <w:r>
        <w:t xml:space="preserve">Mise en place d’une </w:t>
      </w:r>
      <w:r w:rsidR="0029623F" w:rsidRPr="0029623F">
        <w:t xml:space="preserve">convention de prestations de services </w:t>
      </w:r>
      <w:r w:rsidR="0029623F">
        <w:t>durant l</w:t>
      </w:r>
      <w:r w:rsidR="0029623F" w:rsidRPr="0029623F">
        <w:t>a période d’observation</w:t>
      </w:r>
    </w:p>
    <w:p w14:paraId="0BF56621" w14:textId="77777777" w:rsidR="00B42688" w:rsidRDefault="00B42688" w:rsidP="003459A5">
      <w:pPr>
        <w:pStyle w:val="2MAJ-paragraphe"/>
      </w:pPr>
    </w:p>
    <w:p w14:paraId="46063D49" w14:textId="77777777" w:rsidR="00B76608" w:rsidRPr="00125F7E" w:rsidRDefault="00B76608" w:rsidP="00B76608">
      <w:pPr>
        <w:pStyle w:val="2MAJ-paragraphe"/>
      </w:pPr>
      <w:r>
        <w:t>Dans le cadre des procédures collectives des sociétés du Groupe HFI</w:t>
      </w:r>
      <w:r w:rsidRPr="00125F7E">
        <w:t>, une convention de prestations de services a été conclue entre la société HFI et ses filiales opérationnelles en procédure collective, le 10 juillet 2025, sur autorisation des Juges commissaires désignés dans les différentes procédures, après avis du Ministère public, par ordonnances en date du 27 juin 2025</w:t>
      </w:r>
      <w:r>
        <w:t>, la convention de trésorerie préexistante à l’ouverture des procédures collective ayant cessé de fonctionner au fur et à mesure de l’ouverture desdites procédures</w:t>
      </w:r>
    </w:p>
    <w:p w14:paraId="7869E113" w14:textId="77777777" w:rsidR="00B76608" w:rsidRPr="00125F7E" w:rsidRDefault="00B76608" w:rsidP="00B76608">
      <w:pPr>
        <w:pStyle w:val="2MAJ-paragraphe"/>
      </w:pPr>
    </w:p>
    <w:p w14:paraId="10EC81A7" w14:textId="77777777" w:rsidR="00B76608" w:rsidRPr="00125F7E" w:rsidRDefault="00B76608" w:rsidP="00B76608">
      <w:pPr>
        <w:pStyle w:val="2MAJ-paragraphe"/>
      </w:pPr>
      <w:r w:rsidRPr="00125F7E">
        <w:t xml:space="preserve">Cette convention de prestations de services a pour objet la refacturation des prestations effectuées par la holding </w:t>
      </w:r>
      <w:r w:rsidRPr="00DC528B">
        <w:t xml:space="preserve">pour le compte des sociétés opérationnelles du Groupe et de certains frais pris en charge par cette dernière, directement ou indirectement, pour le compte des bénéficiaires </w:t>
      </w:r>
      <w:r>
        <w:t>(honoraires d’avocats, d’expert-comptable, conseils financiers, expert aux fins de valorisation des actifs immobiliers, frais de personnel de l’unique salarié de la holding).</w:t>
      </w:r>
    </w:p>
    <w:p w14:paraId="5C369EEF" w14:textId="77777777" w:rsidR="00B76608" w:rsidRPr="00125F7E" w:rsidRDefault="00B76608" w:rsidP="00B76608">
      <w:pPr>
        <w:pStyle w:val="2MAJ-paragraphe"/>
      </w:pPr>
    </w:p>
    <w:p w14:paraId="367C2AAA" w14:textId="77777777" w:rsidR="00B76608" w:rsidRPr="00125F7E" w:rsidRDefault="00B76608" w:rsidP="00B76608">
      <w:pPr>
        <w:pStyle w:val="2MAJ-paragraphe"/>
      </w:pPr>
      <w:r w:rsidRPr="00125F7E">
        <w:t>Aux termes de la convention de prestations de services, le montant des honoraires portées par la société HFI faisant l’objet d’une refacturation aux sociétés opérationnelles, dont la Société, était estimé à 995k€ TTC sur la période de mai à novembre 2025</w:t>
      </w:r>
      <w:r>
        <w:t xml:space="preserve">, les montants refacturés aux sociétés opérationnelles faisant l’objet de </w:t>
      </w:r>
      <w:r w:rsidRPr="00DC528B">
        <w:rPr>
          <w:u w:val="single"/>
        </w:rPr>
        <w:t>plafonnements mensuels</w:t>
      </w:r>
      <w:r>
        <w:t>.</w:t>
      </w:r>
    </w:p>
    <w:p w14:paraId="547D8E8D" w14:textId="77777777" w:rsidR="00B76608" w:rsidRPr="00125F7E" w:rsidRDefault="00B76608" w:rsidP="00B76608">
      <w:pPr>
        <w:pStyle w:val="2MAJ-paragraphe"/>
      </w:pPr>
    </w:p>
    <w:p w14:paraId="6FD2AC68" w14:textId="77777777" w:rsidR="00B76608" w:rsidRPr="00125F7E" w:rsidRDefault="00B76608" w:rsidP="00B76608">
      <w:pPr>
        <w:pStyle w:val="2MAJ-paragraphe"/>
      </w:pPr>
      <w:r w:rsidRPr="00125F7E">
        <w:t xml:space="preserve">La convention de prestations de services a été conclue rétroactivement depuis l’ouverture des procédures de redressement de HFI d’une part et de ses filiales d’autre part et </w:t>
      </w:r>
      <w:r>
        <w:t xml:space="preserve">ce </w:t>
      </w:r>
      <w:r w:rsidRPr="00125F7E">
        <w:t xml:space="preserve">pour la durée </w:t>
      </w:r>
      <w:r>
        <w:t xml:space="preserve">initiale </w:t>
      </w:r>
      <w:r w:rsidRPr="00125F7E">
        <w:t>de la période d’observation d’HFI, soit jusqu’au 7 novembre 2025.</w:t>
      </w:r>
    </w:p>
    <w:p w14:paraId="002D1549" w14:textId="77777777" w:rsidR="00B76608" w:rsidRPr="00125F7E" w:rsidRDefault="00B76608" w:rsidP="00B76608">
      <w:pPr>
        <w:pStyle w:val="2MAJ-paragraphe"/>
      </w:pPr>
    </w:p>
    <w:p w14:paraId="5C963C9A" w14:textId="77777777" w:rsidR="00B76608" w:rsidRPr="00125F7E" w:rsidRDefault="00B76608" w:rsidP="00B76608">
      <w:pPr>
        <w:pStyle w:val="2MAJ-paragraphe"/>
      </w:pPr>
      <w:r w:rsidRPr="00125F7E">
        <w:t xml:space="preserve">Compte tenu du renouvellement exceptionnel de la période d’observation d’HFI jusqu’au 7 mai 2026, acté par jugement du Tribunal des activités économiques de Paris en date du 20 novembre 2025, il </w:t>
      </w:r>
      <w:r>
        <w:t xml:space="preserve">est </w:t>
      </w:r>
      <w:r w:rsidRPr="00125F7E">
        <w:t>appar</w:t>
      </w:r>
      <w:r>
        <w:t>u</w:t>
      </w:r>
      <w:r w:rsidRPr="00125F7E">
        <w:t xml:space="preserve"> nécessaire de proroger la durée de ladite convention de prestations de services jusqu’à l’adoption des projets de plans de redressement par voie de continuation de l’ensemble des entités du Groupe.</w:t>
      </w:r>
    </w:p>
    <w:p w14:paraId="0A9FCACC" w14:textId="77777777" w:rsidR="00B76608" w:rsidRPr="00125F7E" w:rsidRDefault="00B76608" w:rsidP="00B76608">
      <w:pPr>
        <w:pStyle w:val="2MAJ-paragraphe"/>
      </w:pPr>
    </w:p>
    <w:p w14:paraId="2F33B6B9" w14:textId="77777777" w:rsidR="00B76608" w:rsidRPr="00125F7E" w:rsidRDefault="00B76608" w:rsidP="00B76608">
      <w:pPr>
        <w:pStyle w:val="2MAJ-paragraphe"/>
        <w:rPr>
          <w:bCs/>
        </w:rPr>
      </w:pPr>
      <w:r w:rsidRPr="00125F7E">
        <w:t xml:space="preserve">Le montant des honoraires portées par la société HFI faisant l’objet d’une refacturation aux sociétés opérationnelles, dont la Société, </w:t>
      </w:r>
      <w:r>
        <w:t>a été</w:t>
      </w:r>
      <w:r w:rsidRPr="00125F7E">
        <w:t xml:space="preserve"> estimé à </w:t>
      </w:r>
      <w:r w:rsidRPr="006851DA">
        <w:t xml:space="preserve">1 072k€ TTC </w:t>
      </w:r>
      <w:r>
        <w:t xml:space="preserve">sur la période de décembre 2025 à mai 2026, les montants refacturés aux sociétés opérationnelles faisant l’objet de </w:t>
      </w:r>
      <w:r w:rsidRPr="00801A6F">
        <w:rPr>
          <w:u w:val="single"/>
        </w:rPr>
        <w:t>plafonnements mensuels</w:t>
      </w:r>
      <w:r w:rsidRPr="006851DA">
        <w:t>.</w:t>
      </w:r>
    </w:p>
    <w:p w14:paraId="6DF59D0A" w14:textId="77777777" w:rsidR="00B76608" w:rsidRPr="00125F7E" w:rsidRDefault="00B76608" w:rsidP="00B76608">
      <w:pPr>
        <w:pStyle w:val="2MAJ-paragraphe"/>
      </w:pPr>
    </w:p>
    <w:p w14:paraId="02966D91" w14:textId="77777777" w:rsidR="00B76608" w:rsidRPr="00125F7E" w:rsidRDefault="00B76608" w:rsidP="00B76608">
      <w:pPr>
        <w:pStyle w:val="2MAJ-paragraphe"/>
      </w:pPr>
      <w:r w:rsidRPr="00125F7E">
        <w:t xml:space="preserve">Dans ce contexte, l’autorisation de conclusion de l’avenant à ladite convention de prestations de services susvisée entre HFI et l’ensemble de ses filiales opérationnelles a été sollicitée des Juges-commissaires desdites sociétés, par voie de requêtes conjointes en date du 15 janvier dernier. </w:t>
      </w:r>
    </w:p>
    <w:p w14:paraId="5FF5FA90" w14:textId="77777777" w:rsidR="00B76608" w:rsidRPr="00125F7E" w:rsidRDefault="00B76608" w:rsidP="00B76608">
      <w:pPr>
        <w:pStyle w:val="2MAJ-paragraphe"/>
      </w:pPr>
    </w:p>
    <w:p w14:paraId="7A9A4A91" w14:textId="77777777" w:rsidR="00B76608" w:rsidRDefault="00B76608" w:rsidP="00B76608">
      <w:pPr>
        <w:pStyle w:val="2MAJ-paragraphe"/>
      </w:pPr>
      <w:r w:rsidRPr="00125F7E">
        <w:t xml:space="preserve">Les </w:t>
      </w:r>
      <w:r>
        <w:t xml:space="preserve">autorisations ont été rendues par </w:t>
      </w:r>
      <w:r w:rsidRPr="00125F7E">
        <w:t xml:space="preserve">ordonnances </w:t>
      </w:r>
      <w:r>
        <w:t>du</w:t>
      </w:r>
      <w:r w:rsidRPr="00125F7E">
        <w:t xml:space="preserve"> Juge-commissaire le 20 janvier 2026</w:t>
      </w:r>
      <w:r>
        <w:t>, après avis des organes de la procédure et du Ministère Public</w:t>
      </w:r>
      <w:r w:rsidRPr="00125F7E">
        <w:t xml:space="preserve"> et l’avenant à la convention de prestations de service a été signée le 22 janvier 2026.</w:t>
      </w:r>
    </w:p>
    <w:p w14:paraId="368B2182" w14:textId="4EFA38ED" w:rsidR="000B6D9F" w:rsidRPr="00E334E0" w:rsidRDefault="00E334E0" w:rsidP="00E334E0">
      <w:pPr>
        <w:spacing w:after="160" w:line="259" w:lineRule="auto"/>
        <w:rPr>
          <w:rFonts w:ascii="Calibri" w:hAnsi="Calibri"/>
          <w:b/>
          <w:bCs/>
          <w:sz w:val="22"/>
          <w:szCs w:val="22"/>
          <w:lang w:bidi="fr-FR"/>
        </w:rPr>
      </w:pPr>
      <w:r>
        <w:br w:type="page"/>
      </w:r>
    </w:p>
    <w:p w14:paraId="335F344B" w14:textId="7881132F" w:rsidR="00BC7AC3" w:rsidRDefault="00BC7AC3" w:rsidP="00BC7AC3">
      <w:pPr>
        <w:pStyle w:val="2MAJ-adresse"/>
        <w:numPr>
          <w:ilvl w:val="1"/>
          <w:numId w:val="9"/>
        </w:numPr>
      </w:pPr>
      <w:r w:rsidRPr="00BC7AC3">
        <w:lastRenderedPageBreak/>
        <w:t>Situation intermédiaire au 3</w:t>
      </w:r>
      <w:r w:rsidR="0036684F">
        <w:t>0 septembre 2025</w:t>
      </w:r>
    </w:p>
    <w:p w14:paraId="109D9B89" w14:textId="77777777" w:rsidR="00E334E0" w:rsidRDefault="00E334E0" w:rsidP="00E334E0">
      <w:pPr>
        <w:pStyle w:val="2MAJ-adresse"/>
      </w:pPr>
    </w:p>
    <w:p w14:paraId="1E1A49D2" w14:textId="16C98AFA" w:rsidR="00E334E0" w:rsidRDefault="00E334E0" w:rsidP="00E334E0">
      <w:pPr>
        <w:pStyle w:val="2MAJ-paragraphe"/>
      </w:pPr>
      <w:r>
        <w:t xml:space="preserve">La situation intermédiaire de Société au </w:t>
      </w:r>
      <w:r w:rsidR="0036684F" w:rsidRPr="0036684F">
        <w:t>30 septembre 2025</w:t>
      </w:r>
      <w:r>
        <w:t xml:space="preserve"> est synthétisée ci-après :</w:t>
      </w:r>
    </w:p>
    <w:p w14:paraId="6E956CBC" w14:textId="77777777" w:rsidR="00BC7AC3" w:rsidRDefault="00BC7AC3" w:rsidP="00BC7AC3">
      <w:pPr>
        <w:pStyle w:val="2MAJ-adresse"/>
      </w:pPr>
    </w:p>
    <w:tbl>
      <w:tblPr>
        <w:tblW w:w="5382" w:type="dxa"/>
        <w:jc w:val="center"/>
        <w:tblCellMar>
          <w:left w:w="70" w:type="dxa"/>
          <w:right w:w="70" w:type="dxa"/>
        </w:tblCellMar>
        <w:tblLook w:val="04A0" w:firstRow="1" w:lastRow="0" w:firstColumn="1" w:lastColumn="0" w:noHBand="0" w:noVBand="1"/>
      </w:tblPr>
      <w:tblGrid>
        <w:gridCol w:w="3558"/>
        <w:gridCol w:w="1824"/>
      </w:tblGrid>
      <w:tr w:rsidR="000737F9" w:rsidRPr="000737F9" w14:paraId="495A7985" w14:textId="77777777" w:rsidTr="001315FA">
        <w:trPr>
          <w:trHeight w:val="20"/>
          <w:jc w:val="center"/>
        </w:trPr>
        <w:tc>
          <w:tcPr>
            <w:tcW w:w="355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DC450DA" w14:textId="77777777" w:rsidR="000737F9" w:rsidRPr="000737F9" w:rsidRDefault="000737F9" w:rsidP="005E2339">
            <w:pPr>
              <w:rPr>
                <w:rFonts w:ascii="Calibri" w:hAnsi="Calibri" w:cs="Calibri"/>
                <w:b/>
                <w:bCs/>
                <w:color w:val="000000"/>
                <w:szCs w:val="22"/>
              </w:rPr>
            </w:pPr>
            <w:r w:rsidRPr="000737F9">
              <w:rPr>
                <w:rFonts w:ascii="Calibri" w:hAnsi="Calibri" w:cs="Calibri"/>
                <w:b/>
                <w:bCs/>
                <w:color w:val="000000"/>
                <w:szCs w:val="22"/>
              </w:rPr>
              <w:t>Exercice</w:t>
            </w:r>
          </w:p>
        </w:tc>
        <w:tc>
          <w:tcPr>
            <w:tcW w:w="1824" w:type="dxa"/>
            <w:tcBorders>
              <w:top w:val="single" w:sz="4" w:space="0" w:color="auto"/>
              <w:left w:val="nil"/>
              <w:bottom w:val="single" w:sz="4" w:space="0" w:color="auto"/>
              <w:right w:val="single" w:sz="4" w:space="0" w:color="auto"/>
            </w:tcBorders>
            <w:shd w:val="clear" w:color="auto" w:fill="FFC000"/>
            <w:vAlign w:val="center"/>
            <w:hideMark/>
          </w:tcPr>
          <w:p w14:paraId="5F5E8D2A" w14:textId="12901123" w:rsidR="000737F9" w:rsidRPr="000737F9" w:rsidRDefault="000737F9" w:rsidP="005E2339">
            <w:pPr>
              <w:jc w:val="center"/>
              <w:rPr>
                <w:rFonts w:ascii="Calibri" w:hAnsi="Calibri" w:cs="Calibri"/>
                <w:b/>
                <w:bCs/>
                <w:color w:val="000000"/>
                <w:szCs w:val="22"/>
              </w:rPr>
            </w:pPr>
            <w:r w:rsidRPr="000737F9">
              <w:rPr>
                <w:rFonts w:ascii="Calibri" w:hAnsi="Calibri" w:cs="Calibri"/>
                <w:b/>
                <w:bCs/>
                <w:color w:val="000000"/>
                <w:szCs w:val="22"/>
              </w:rPr>
              <w:t>01/0</w:t>
            </w:r>
            <w:r w:rsidR="001315FA">
              <w:rPr>
                <w:rFonts w:ascii="Calibri" w:hAnsi="Calibri" w:cs="Calibri"/>
                <w:b/>
                <w:bCs/>
                <w:color w:val="000000"/>
                <w:szCs w:val="22"/>
              </w:rPr>
              <w:t>1</w:t>
            </w:r>
            <w:r w:rsidRPr="000737F9">
              <w:rPr>
                <w:rFonts w:ascii="Calibri" w:hAnsi="Calibri" w:cs="Calibri"/>
                <w:b/>
                <w:bCs/>
                <w:color w:val="000000"/>
                <w:szCs w:val="22"/>
              </w:rPr>
              <w:t>/2025 au 3</w:t>
            </w:r>
            <w:r w:rsidR="001315FA">
              <w:rPr>
                <w:rFonts w:ascii="Calibri" w:hAnsi="Calibri" w:cs="Calibri"/>
                <w:b/>
                <w:bCs/>
                <w:color w:val="000000"/>
                <w:szCs w:val="22"/>
              </w:rPr>
              <w:t>0</w:t>
            </w:r>
            <w:r w:rsidRPr="000737F9">
              <w:rPr>
                <w:rFonts w:ascii="Calibri" w:hAnsi="Calibri" w:cs="Calibri"/>
                <w:b/>
                <w:bCs/>
                <w:color w:val="000000"/>
                <w:szCs w:val="22"/>
              </w:rPr>
              <w:t>/</w:t>
            </w:r>
            <w:r w:rsidR="001315FA">
              <w:rPr>
                <w:rFonts w:ascii="Calibri" w:hAnsi="Calibri" w:cs="Calibri"/>
                <w:b/>
                <w:bCs/>
                <w:color w:val="000000"/>
                <w:szCs w:val="22"/>
              </w:rPr>
              <w:t>09</w:t>
            </w:r>
            <w:r w:rsidRPr="000737F9">
              <w:rPr>
                <w:rFonts w:ascii="Calibri" w:hAnsi="Calibri" w:cs="Calibri"/>
                <w:b/>
                <w:bCs/>
                <w:color w:val="000000"/>
                <w:szCs w:val="22"/>
              </w:rPr>
              <w:t>/2025</w:t>
            </w:r>
          </w:p>
        </w:tc>
      </w:tr>
      <w:tr w:rsidR="000737F9" w:rsidRPr="000737F9" w14:paraId="502A444D" w14:textId="77777777" w:rsidTr="001315F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2EF4C76C" w14:textId="77777777" w:rsidR="000737F9" w:rsidRPr="000737F9" w:rsidRDefault="000737F9" w:rsidP="005E2339">
            <w:pPr>
              <w:rPr>
                <w:rFonts w:ascii="Calibri" w:hAnsi="Calibri" w:cs="Calibri"/>
                <w:b/>
                <w:bCs/>
                <w:color w:val="000000"/>
                <w:szCs w:val="22"/>
              </w:rPr>
            </w:pPr>
            <w:r w:rsidRPr="000737F9">
              <w:rPr>
                <w:rFonts w:ascii="Calibri" w:hAnsi="Calibri" w:cs="Calibri"/>
                <w:b/>
                <w:bCs/>
                <w:color w:val="000000"/>
                <w:szCs w:val="22"/>
              </w:rPr>
              <w:t>Chiffre d'affaires total</w:t>
            </w:r>
          </w:p>
        </w:tc>
        <w:tc>
          <w:tcPr>
            <w:tcW w:w="1824" w:type="dxa"/>
            <w:tcBorders>
              <w:top w:val="nil"/>
              <w:left w:val="nil"/>
              <w:bottom w:val="single" w:sz="4" w:space="0" w:color="auto"/>
              <w:right w:val="single" w:sz="4" w:space="0" w:color="auto"/>
            </w:tcBorders>
            <w:vAlign w:val="center"/>
            <w:hideMark/>
          </w:tcPr>
          <w:p w14:paraId="7F93477B" w14:textId="7B5A496D" w:rsidR="000737F9" w:rsidRPr="001315FA" w:rsidRDefault="001315FA" w:rsidP="005E2339">
            <w:pPr>
              <w:jc w:val="center"/>
              <w:rPr>
                <w:rFonts w:ascii="Calibri" w:hAnsi="Calibri" w:cs="Calibri"/>
                <w:color w:val="000000"/>
                <w:szCs w:val="22"/>
              </w:rPr>
            </w:pPr>
            <w:r w:rsidRPr="001315FA">
              <w:rPr>
                <w:rFonts w:ascii="Calibri" w:hAnsi="Calibri" w:cs="Calibri"/>
                <w:color w:val="000000"/>
                <w:szCs w:val="22"/>
              </w:rPr>
              <w:t>20 520 €</w:t>
            </w:r>
          </w:p>
        </w:tc>
      </w:tr>
      <w:tr w:rsidR="000737F9" w:rsidRPr="000737F9" w14:paraId="654F1500" w14:textId="77777777" w:rsidTr="001315F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008B1950" w14:textId="77777777" w:rsidR="000737F9" w:rsidRPr="000737F9" w:rsidRDefault="000737F9" w:rsidP="005E2339">
            <w:pPr>
              <w:rPr>
                <w:rFonts w:ascii="Calibri" w:hAnsi="Calibri" w:cs="Calibri"/>
                <w:b/>
                <w:bCs/>
                <w:color w:val="000000"/>
                <w:szCs w:val="22"/>
              </w:rPr>
            </w:pPr>
            <w:r w:rsidRPr="000737F9">
              <w:rPr>
                <w:rFonts w:ascii="Calibri" w:hAnsi="Calibri" w:cs="Calibri"/>
                <w:b/>
                <w:bCs/>
                <w:color w:val="000000"/>
                <w:szCs w:val="22"/>
              </w:rPr>
              <w:t>Résultat d'exploitation</w:t>
            </w:r>
          </w:p>
        </w:tc>
        <w:tc>
          <w:tcPr>
            <w:tcW w:w="1824" w:type="dxa"/>
            <w:tcBorders>
              <w:top w:val="nil"/>
              <w:left w:val="nil"/>
              <w:bottom w:val="single" w:sz="4" w:space="0" w:color="auto"/>
              <w:right w:val="single" w:sz="4" w:space="0" w:color="auto"/>
            </w:tcBorders>
            <w:vAlign w:val="center"/>
            <w:hideMark/>
          </w:tcPr>
          <w:p w14:paraId="7356D5A5" w14:textId="14F6426E" w:rsidR="000737F9" w:rsidRPr="000737F9" w:rsidRDefault="000737F9" w:rsidP="005E2339">
            <w:pPr>
              <w:jc w:val="center"/>
              <w:rPr>
                <w:rFonts w:ascii="Calibri" w:hAnsi="Calibri" w:cs="Calibri"/>
                <w:color w:val="000000"/>
                <w:szCs w:val="22"/>
              </w:rPr>
            </w:pPr>
            <w:r w:rsidRPr="000737F9">
              <w:rPr>
                <w:rFonts w:ascii="Calibri" w:hAnsi="Calibri" w:cs="Calibri"/>
                <w:color w:val="000000"/>
                <w:szCs w:val="22"/>
              </w:rPr>
              <w:t>-</w:t>
            </w:r>
            <w:r w:rsidR="001315FA">
              <w:rPr>
                <w:rFonts w:ascii="Calibri" w:hAnsi="Calibri" w:cs="Calibri"/>
                <w:color w:val="000000"/>
                <w:szCs w:val="22"/>
              </w:rPr>
              <w:t>324</w:t>
            </w:r>
            <w:r w:rsidRPr="000737F9">
              <w:rPr>
                <w:rFonts w:ascii="Calibri" w:hAnsi="Calibri" w:cs="Calibri"/>
                <w:color w:val="000000"/>
                <w:szCs w:val="22"/>
              </w:rPr>
              <w:t xml:space="preserve"> €</w:t>
            </w:r>
          </w:p>
        </w:tc>
      </w:tr>
      <w:tr w:rsidR="000737F9" w:rsidRPr="000737F9" w14:paraId="6F9D17BF" w14:textId="77777777" w:rsidTr="001315FA">
        <w:trPr>
          <w:trHeight w:val="20"/>
          <w:jc w:val="center"/>
        </w:trPr>
        <w:tc>
          <w:tcPr>
            <w:tcW w:w="3558" w:type="dxa"/>
            <w:tcBorders>
              <w:top w:val="nil"/>
              <w:left w:val="single" w:sz="4" w:space="0" w:color="auto"/>
              <w:bottom w:val="single" w:sz="4" w:space="0" w:color="auto"/>
              <w:right w:val="single" w:sz="4" w:space="0" w:color="auto"/>
            </w:tcBorders>
            <w:shd w:val="clear" w:color="auto" w:fill="FFC000"/>
            <w:vAlign w:val="center"/>
            <w:hideMark/>
          </w:tcPr>
          <w:p w14:paraId="25E58255" w14:textId="77777777" w:rsidR="000737F9" w:rsidRPr="000737F9" w:rsidRDefault="000737F9" w:rsidP="005E2339">
            <w:pPr>
              <w:rPr>
                <w:rFonts w:ascii="Calibri" w:hAnsi="Calibri" w:cs="Calibri"/>
                <w:b/>
                <w:bCs/>
                <w:color w:val="000000"/>
                <w:szCs w:val="22"/>
              </w:rPr>
            </w:pPr>
            <w:r w:rsidRPr="000737F9">
              <w:rPr>
                <w:rFonts w:ascii="Calibri" w:hAnsi="Calibri" w:cs="Calibri"/>
                <w:b/>
                <w:bCs/>
                <w:color w:val="000000"/>
                <w:szCs w:val="22"/>
              </w:rPr>
              <w:t>Résultat net</w:t>
            </w:r>
          </w:p>
        </w:tc>
        <w:tc>
          <w:tcPr>
            <w:tcW w:w="1824" w:type="dxa"/>
            <w:tcBorders>
              <w:top w:val="nil"/>
              <w:left w:val="nil"/>
              <w:bottom w:val="single" w:sz="4" w:space="0" w:color="auto"/>
              <w:right w:val="single" w:sz="4" w:space="0" w:color="auto"/>
            </w:tcBorders>
            <w:vAlign w:val="center"/>
            <w:hideMark/>
          </w:tcPr>
          <w:p w14:paraId="70C5CED8" w14:textId="11B935AA" w:rsidR="000737F9" w:rsidRPr="000737F9" w:rsidRDefault="000737F9" w:rsidP="005E2339">
            <w:pPr>
              <w:jc w:val="center"/>
              <w:rPr>
                <w:rFonts w:ascii="Calibri" w:hAnsi="Calibri" w:cs="Calibri"/>
                <w:color w:val="000000"/>
                <w:szCs w:val="22"/>
              </w:rPr>
            </w:pPr>
            <w:r w:rsidRPr="000737F9">
              <w:rPr>
                <w:rFonts w:ascii="Calibri" w:hAnsi="Calibri" w:cs="Calibri"/>
                <w:color w:val="000000"/>
                <w:szCs w:val="22"/>
              </w:rPr>
              <w:t>-</w:t>
            </w:r>
            <w:r w:rsidR="001315FA">
              <w:rPr>
                <w:rFonts w:ascii="Calibri" w:hAnsi="Calibri" w:cs="Calibri"/>
                <w:color w:val="000000"/>
                <w:szCs w:val="22"/>
              </w:rPr>
              <w:t>2 991</w:t>
            </w:r>
            <w:r w:rsidRPr="000737F9">
              <w:rPr>
                <w:rFonts w:ascii="Calibri" w:hAnsi="Calibri" w:cs="Calibri"/>
                <w:color w:val="000000"/>
                <w:szCs w:val="22"/>
              </w:rPr>
              <w:t xml:space="preserve"> €</w:t>
            </w:r>
          </w:p>
        </w:tc>
      </w:tr>
    </w:tbl>
    <w:p w14:paraId="44ECA277" w14:textId="77777777" w:rsidR="000737F9" w:rsidRDefault="000737F9" w:rsidP="00BC7AC3">
      <w:pPr>
        <w:pStyle w:val="2MAJ-adresse"/>
      </w:pPr>
    </w:p>
    <w:p w14:paraId="638254D9" w14:textId="6665E880" w:rsidR="006F0B1B" w:rsidRPr="00BC7AC3" w:rsidRDefault="006F0B1B" w:rsidP="00BC7AC3">
      <w:pPr>
        <w:pStyle w:val="2MAJ-adresse"/>
      </w:pPr>
      <w:r w:rsidRPr="00BC7AC3">
        <w:br w:type="page"/>
      </w:r>
    </w:p>
    <w:p w14:paraId="68A9FCFA" w14:textId="485E44CD" w:rsidR="008C7743" w:rsidRPr="000B6D9F" w:rsidRDefault="00977898" w:rsidP="008C7743">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38" w:name="_Toc222908295"/>
      <w:r>
        <w:rPr>
          <w:rFonts w:ascii="Calibri" w:hAnsi="Calibri" w:cs="Calibri"/>
          <w:b/>
          <w:sz w:val="22"/>
          <w:szCs w:val="22"/>
        </w:rPr>
        <w:lastRenderedPageBreak/>
        <w:t>PRINCIPES DIRECTEURS COMMUNS AUX</w:t>
      </w:r>
      <w:r w:rsidRPr="000B6D9F">
        <w:rPr>
          <w:rFonts w:ascii="Calibri" w:hAnsi="Calibri" w:cs="Calibri"/>
          <w:b/>
          <w:sz w:val="22"/>
          <w:szCs w:val="22"/>
        </w:rPr>
        <w:t>S PROJETS DE PLAN DE REDRESSEMENT</w:t>
      </w:r>
      <w:r>
        <w:rPr>
          <w:rFonts w:ascii="Calibri" w:hAnsi="Calibri" w:cs="Calibri"/>
          <w:b/>
          <w:sz w:val="22"/>
          <w:szCs w:val="22"/>
        </w:rPr>
        <w:t xml:space="preserve"> PRESENTES PAR LES SOCIETES DU GROUPE</w:t>
      </w:r>
      <w:bookmarkEnd w:id="38"/>
    </w:p>
    <w:p w14:paraId="1283E30C" w14:textId="77777777" w:rsidR="008C7743" w:rsidRDefault="008C7743" w:rsidP="00C11DED">
      <w:pPr>
        <w:pStyle w:val="2MAJ-adresse"/>
      </w:pPr>
    </w:p>
    <w:p w14:paraId="5633962C" w14:textId="58FEF7BB" w:rsidR="00285841" w:rsidRDefault="007A2608" w:rsidP="00C11DED">
      <w:pPr>
        <w:pStyle w:val="2MAJ-adresse"/>
        <w:numPr>
          <w:ilvl w:val="1"/>
          <w:numId w:val="9"/>
        </w:numPr>
      </w:pPr>
      <w:bookmarkStart w:id="39" w:name="_Toc191908188"/>
      <w:r>
        <w:t>Principales hypothèses</w:t>
      </w:r>
    </w:p>
    <w:p w14:paraId="3533F507" w14:textId="77777777" w:rsidR="00285841" w:rsidRDefault="00285841" w:rsidP="00C11DED">
      <w:pPr>
        <w:pStyle w:val="2MAJ-adresse"/>
      </w:pPr>
    </w:p>
    <w:p w14:paraId="58332FEC" w14:textId="77777777" w:rsidR="00FC05C7" w:rsidRPr="003323B9" w:rsidRDefault="00FC05C7" w:rsidP="00FC05C7">
      <w:pPr>
        <w:spacing w:after="120"/>
        <w:jc w:val="both"/>
        <w:rPr>
          <w:rFonts w:ascii="Calibri" w:hAnsi="Calibri"/>
          <w:sz w:val="22"/>
          <w:szCs w:val="22"/>
        </w:rPr>
      </w:pPr>
      <w:r w:rsidRPr="003323B9">
        <w:rPr>
          <w:rFonts w:ascii="Calibri" w:hAnsi="Calibri"/>
          <w:sz w:val="22"/>
          <w:szCs w:val="22"/>
        </w:rPr>
        <w:t>Les projets de plans de redressement</w:t>
      </w:r>
      <w:r>
        <w:rPr>
          <w:rFonts w:ascii="Calibri" w:hAnsi="Calibri"/>
          <w:sz w:val="22"/>
          <w:szCs w:val="22"/>
        </w:rPr>
        <w:t xml:space="preserve"> présentés par les sociétés du Groupe en redressements judiciaires avec leurs administrateurs judiciaires </w:t>
      </w:r>
      <w:r w:rsidRPr="003323B9">
        <w:rPr>
          <w:rFonts w:ascii="Calibri" w:hAnsi="Calibri"/>
          <w:sz w:val="22"/>
          <w:szCs w:val="22"/>
        </w:rPr>
        <w:t>reposent sur les hypothèses suivantes :</w:t>
      </w:r>
    </w:p>
    <w:p w14:paraId="3EC26194" w14:textId="77777777" w:rsidR="00FC05C7" w:rsidRPr="003323B9" w:rsidRDefault="00FC05C7" w:rsidP="00FC05C7">
      <w:pPr>
        <w:numPr>
          <w:ilvl w:val="0"/>
          <w:numId w:val="22"/>
        </w:numPr>
        <w:spacing w:after="120"/>
        <w:jc w:val="both"/>
        <w:rPr>
          <w:rFonts w:ascii="Calibri" w:hAnsi="Calibri"/>
          <w:sz w:val="22"/>
          <w:szCs w:val="22"/>
        </w:rPr>
      </w:pPr>
      <w:r w:rsidRPr="003323B9">
        <w:rPr>
          <w:rFonts w:ascii="Calibri" w:hAnsi="Calibri"/>
          <w:b/>
          <w:bCs/>
          <w:sz w:val="22"/>
          <w:szCs w:val="22"/>
          <w:u w:val="single"/>
        </w:rPr>
        <w:t>Hypothèses communes à tous les plans </w:t>
      </w:r>
      <w:r w:rsidRPr="003323B9">
        <w:rPr>
          <w:rFonts w:ascii="Calibri" w:hAnsi="Calibri"/>
          <w:sz w:val="22"/>
          <w:szCs w:val="22"/>
        </w:rPr>
        <w:t>:</w:t>
      </w:r>
    </w:p>
    <w:p w14:paraId="4226335F" w14:textId="77777777" w:rsidR="00FC05C7" w:rsidRPr="003323B9" w:rsidRDefault="00FC05C7" w:rsidP="00FC05C7">
      <w:pPr>
        <w:numPr>
          <w:ilvl w:val="1"/>
          <w:numId w:val="22"/>
        </w:numPr>
        <w:spacing w:after="120"/>
        <w:jc w:val="both"/>
        <w:rPr>
          <w:rFonts w:ascii="Calibri" w:hAnsi="Calibri"/>
          <w:b/>
          <w:bCs/>
          <w:sz w:val="22"/>
          <w:szCs w:val="22"/>
        </w:rPr>
      </w:pPr>
      <w:r w:rsidRPr="003323B9">
        <w:rPr>
          <w:rFonts w:ascii="Calibri" w:hAnsi="Calibri"/>
          <w:b/>
          <w:bCs/>
          <w:sz w:val="22"/>
          <w:szCs w:val="22"/>
        </w:rPr>
        <w:t xml:space="preserve">Durée des plans : 5 ans </w:t>
      </w:r>
    </w:p>
    <w:p w14:paraId="4E8D9DBA" w14:textId="77777777" w:rsidR="00FC05C7" w:rsidRPr="003323B9" w:rsidRDefault="00FC05C7" w:rsidP="00FC05C7">
      <w:pPr>
        <w:numPr>
          <w:ilvl w:val="1"/>
          <w:numId w:val="22"/>
        </w:numPr>
        <w:spacing w:after="120"/>
        <w:jc w:val="both"/>
        <w:rPr>
          <w:rFonts w:ascii="Calibri" w:hAnsi="Calibri"/>
          <w:sz w:val="22"/>
          <w:szCs w:val="22"/>
        </w:rPr>
      </w:pPr>
      <w:r w:rsidRPr="003323B9">
        <w:rPr>
          <w:rFonts w:ascii="Calibri" w:hAnsi="Calibri"/>
          <w:sz w:val="22"/>
          <w:szCs w:val="22"/>
        </w:rPr>
        <w:t xml:space="preserve"> </w:t>
      </w:r>
      <w:r>
        <w:rPr>
          <w:rFonts w:ascii="Calibri" w:hAnsi="Calibri"/>
          <w:sz w:val="22"/>
          <w:szCs w:val="22"/>
        </w:rPr>
        <w:t>Progressivité des échéances d’apurement du passif retenue dans les projets de plans </w:t>
      </w:r>
      <w:r w:rsidRPr="003323B9">
        <w:rPr>
          <w:rFonts w:ascii="Calibri" w:hAnsi="Calibri"/>
          <w:sz w:val="22"/>
          <w:szCs w:val="22"/>
        </w:rPr>
        <w:t xml:space="preserve">: 1%, 1%, 5%, 5% et 88%. </w:t>
      </w:r>
    </w:p>
    <w:p w14:paraId="29E8B6B9" w14:textId="77777777" w:rsidR="00FC05C7" w:rsidRDefault="00FC05C7" w:rsidP="00FC05C7">
      <w:pPr>
        <w:numPr>
          <w:ilvl w:val="1"/>
          <w:numId w:val="22"/>
        </w:numPr>
        <w:spacing w:after="120"/>
        <w:jc w:val="both"/>
        <w:rPr>
          <w:rFonts w:ascii="Calibri" w:hAnsi="Calibri"/>
          <w:sz w:val="22"/>
          <w:szCs w:val="22"/>
        </w:rPr>
      </w:pPr>
      <w:r w:rsidRPr="003323B9">
        <w:rPr>
          <w:rFonts w:ascii="Calibri" w:hAnsi="Calibri"/>
          <w:sz w:val="22"/>
          <w:szCs w:val="22"/>
        </w:rPr>
        <w:t>Les cessions et les refinancements sont positionnés en mars 2031 (fin des plans).</w:t>
      </w:r>
    </w:p>
    <w:p w14:paraId="5FB69BFD" w14:textId="77777777" w:rsidR="00FC05C7" w:rsidRPr="003323B9" w:rsidRDefault="00FC05C7" w:rsidP="00FC05C7">
      <w:pPr>
        <w:numPr>
          <w:ilvl w:val="1"/>
          <w:numId w:val="22"/>
        </w:numPr>
        <w:spacing w:after="120"/>
        <w:jc w:val="both"/>
        <w:rPr>
          <w:rFonts w:ascii="Calibri" w:hAnsi="Calibri"/>
          <w:sz w:val="22"/>
          <w:szCs w:val="22"/>
        </w:rPr>
      </w:pPr>
      <w:r>
        <w:rPr>
          <w:rFonts w:ascii="Calibri" w:hAnsi="Calibri"/>
          <w:sz w:val="22"/>
          <w:szCs w:val="22"/>
        </w:rPr>
        <w:t>Première échéance réglée à la date anniversaire de l’adoption du plan par le tribunal.</w:t>
      </w:r>
    </w:p>
    <w:p w14:paraId="7B8B2F5E" w14:textId="77777777" w:rsidR="00FC05C7" w:rsidRPr="003323B9" w:rsidRDefault="00FC05C7" w:rsidP="00FC05C7">
      <w:pPr>
        <w:numPr>
          <w:ilvl w:val="0"/>
          <w:numId w:val="22"/>
        </w:numPr>
        <w:spacing w:after="120"/>
        <w:jc w:val="both"/>
        <w:rPr>
          <w:rFonts w:ascii="Calibri" w:hAnsi="Calibri"/>
          <w:sz w:val="22"/>
          <w:szCs w:val="22"/>
        </w:rPr>
      </w:pPr>
      <w:r w:rsidRPr="003323B9">
        <w:rPr>
          <w:rFonts w:ascii="Calibri" w:hAnsi="Calibri"/>
          <w:sz w:val="22"/>
          <w:szCs w:val="22"/>
          <w:u w:val="single"/>
        </w:rPr>
        <w:t>Plan d’apurement – Classes de parties affectées</w:t>
      </w:r>
      <w:r w:rsidRPr="003323B9">
        <w:rPr>
          <w:rFonts w:ascii="Calibri" w:hAnsi="Calibri"/>
          <w:sz w:val="22"/>
          <w:szCs w:val="22"/>
        </w:rPr>
        <w:t> :</w:t>
      </w:r>
    </w:p>
    <w:p w14:paraId="25A53005" w14:textId="77777777" w:rsidR="00FC05C7" w:rsidRPr="003323B9" w:rsidRDefault="00FC05C7" w:rsidP="00FC05C7">
      <w:pPr>
        <w:numPr>
          <w:ilvl w:val="1"/>
          <w:numId w:val="22"/>
        </w:numPr>
        <w:spacing w:after="120"/>
        <w:jc w:val="both"/>
        <w:rPr>
          <w:rFonts w:ascii="Calibri" w:hAnsi="Calibri"/>
          <w:sz w:val="22"/>
          <w:szCs w:val="22"/>
        </w:rPr>
      </w:pPr>
      <w:r>
        <w:rPr>
          <w:rFonts w:ascii="Calibri" w:hAnsi="Calibri"/>
          <w:sz w:val="22"/>
          <w:szCs w:val="22"/>
        </w:rPr>
        <w:t>Des</w:t>
      </w:r>
      <w:r w:rsidRPr="003323B9">
        <w:rPr>
          <w:rFonts w:ascii="Calibri" w:hAnsi="Calibri"/>
          <w:sz w:val="22"/>
          <w:szCs w:val="22"/>
        </w:rPr>
        <w:t xml:space="preserve"> classes de parties affectées </w:t>
      </w:r>
      <w:r>
        <w:rPr>
          <w:rFonts w:ascii="Calibri" w:hAnsi="Calibri"/>
          <w:sz w:val="22"/>
          <w:szCs w:val="22"/>
        </w:rPr>
        <w:t xml:space="preserve">ont été constituées par </w:t>
      </w:r>
      <w:r w:rsidRPr="003323B9">
        <w:rPr>
          <w:rFonts w:ascii="Calibri" w:hAnsi="Calibri"/>
          <w:sz w:val="22"/>
          <w:szCs w:val="22"/>
        </w:rPr>
        <w:t>3 entités </w:t>
      </w:r>
      <w:r>
        <w:rPr>
          <w:rFonts w:ascii="Calibri" w:hAnsi="Calibri"/>
          <w:sz w:val="22"/>
          <w:szCs w:val="22"/>
        </w:rPr>
        <w:t xml:space="preserve">du Groupe (périmètre AJA) sur autorisation du Juge-commissaire </w:t>
      </w:r>
      <w:r w:rsidRPr="003323B9">
        <w:rPr>
          <w:rFonts w:ascii="Calibri" w:hAnsi="Calibri"/>
          <w:sz w:val="22"/>
          <w:szCs w:val="22"/>
        </w:rPr>
        <w:t xml:space="preserve">: HFI, Foncière de Shery et </w:t>
      </w:r>
      <w:r>
        <w:rPr>
          <w:rFonts w:ascii="Calibri" w:hAnsi="Calibri"/>
          <w:sz w:val="22"/>
          <w:szCs w:val="22"/>
        </w:rPr>
        <w:t>Simha</w:t>
      </w:r>
    </w:p>
    <w:p w14:paraId="4D3007DB" w14:textId="77777777" w:rsidR="00FC05C7" w:rsidRDefault="00FC05C7" w:rsidP="00FC05C7">
      <w:pPr>
        <w:numPr>
          <w:ilvl w:val="1"/>
          <w:numId w:val="22"/>
        </w:numPr>
        <w:spacing w:after="120"/>
        <w:jc w:val="both"/>
        <w:rPr>
          <w:rFonts w:ascii="Calibri" w:hAnsi="Calibri"/>
          <w:sz w:val="22"/>
          <w:szCs w:val="22"/>
        </w:rPr>
      </w:pPr>
      <w:r w:rsidRPr="003323B9">
        <w:rPr>
          <w:rFonts w:ascii="Calibri" w:hAnsi="Calibri"/>
          <w:sz w:val="22"/>
          <w:szCs w:val="22"/>
        </w:rPr>
        <w:t>Le passif retenu dans les</w:t>
      </w:r>
      <w:r>
        <w:rPr>
          <w:rFonts w:ascii="Calibri" w:hAnsi="Calibri"/>
          <w:sz w:val="22"/>
          <w:szCs w:val="22"/>
        </w:rPr>
        <w:t>dits</w:t>
      </w:r>
      <w:r w:rsidRPr="003323B9">
        <w:rPr>
          <w:rFonts w:ascii="Calibri" w:hAnsi="Calibri"/>
          <w:sz w:val="22"/>
          <w:szCs w:val="22"/>
        </w:rPr>
        <w:t xml:space="preserve"> plans correspond au passif vérifié par l’Expert-comptable. </w:t>
      </w:r>
    </w:p>
    <w:p w14:paraId="46AA46CF" w14:textId="77777777" w:rsidR="00FC05C7" w:rsidRPr="0024765D" w:rsidRDefault="00FC05C7" w:rsidP="00FC05C7">
      <w:pPr>
        <w:numPr>
          <w:ilvl w:val="1"/>
          <w:numId w:val="22"/>
        </w:numPr>
        <w:spacing w:after="120"/>
        <w:jc w:val="both"/>
        <w:rPr>
          <w:rFonts w:ascii="Calibri" w:hAnsi="Calibri"/>
          <w:sz w:val="22"/>
          <w:szCs w:val="22"/>
        </w:rPr>
      </w:pPr>
      <w:r>
        <w:rPr>
          <w:rFonts w:ascii="Calibri" w:hAnsi="Calibri"/>
          <w:sz w:val="22"/>
          <w:szCs w:val="22"/>
        </w:rPr>
        <w:t xml:space="preserve">Les abandons de créances </w:t>
      </w:r>
      <w:r w:rsidRPr="007C5279">
        <w:rPr>
          <w:rFonts w:ascii="Calibri" w:hAnsi="Calibri"/>
          <w:sz w:val="22"/>
          <w:szCs w:val="22"/>
        </w:rPr>
        <w:t xml:space="preserve">prévues dans ces plans doivent permettre de ramener le passif à apurer par ces trois entités de </w:t>
      </w:r>
      <w:r w:rsidRPr="007E2D1D">
        <w:rPr>
          <w:rFonts w:ascii="Calibri" w:hAnsi="Calibri"/>
          <w:sz w:val="22"/>
          <w:szCs w:val="22"/>
        </w:rPr>
        <w:t>135 80</w:t>
      </w:r>
      <w:r>
        <w:rPr>
          <w:rFonts w:ascii="Calibri" w:hAnsi="Calibri"/>
          <w:sz w:val="22"/>
          <w:szCs w:val="22"/>
        </w:rPr>
        <w:t>9</w:t>
      </w:r>
      <w:r w:rsidRPr="007E2D1D">
        <w:rPr>
          <w:rFonts w:ascii="Calibri" w:hAnsi="Calibri"/>
          <w:sz w:val="22"/>
          <w:szCs w:val="22"/>
        </w:rPr>
        <w:t>k€</w:t>
      </w:r>
      <w:r w:rsidRPr="007C5279">
        <w:rPr>
          <w:rFonts w:ascii="Calibri" w:hAnsi="Calibri"/>
          <w:sz w:val="22"/>
          <w:szCs w:val="22"/>
        </w:rPr>
        <w:t xml:space="preserve"> à </w:t>
      </w:r>
      <w:r>
        <w:rPr>
          <w:rFonts w:ascii="Calibri" w:hAnsi="Calibri"/>
          <w:sz w:val="22"/>
          <w:szCs w:val="22"/>
        </w:rPr>
        <w:t>51 398</w:t>
      </w:r>
      <w:r w:rsidRPr="007E2D1D">
        <w:rPr>
          <w:rFonts w:ascii="Calibri" w:hAnsi="Calibri"/>
          <w:sz w:val="22"/>
          <w:szCs w:val="22"/>
        </w:rPr>
        <w:t>k€</w:t>
      </w:r>
      <w:r w:rsidRPr="007C5279">
        <w:rPr>
          <w:rFonts w:ascii="Calibri" w:hAnsi="Calibri"/>
          <w:sz w:val="22"/>
          <w:szCs w:val="22"/>
        </w:rPr>
        <w:t xml:space="preserve">. Ainsi, le passif global du Groupe serait ramené de </w:t>
      </w:r>
      <w:r w:rsidRPr="007E2D1D">
        <w:rPr>
          <w:rFonts w:ascii="Calibri" w:hAnsi="Calibri"/>
          <w:sz w:val="22"/>
          <w:szCs w:val="22"/>
        </w:rPr>
        <w:t>188 783k€</w:t>
      </w:r>
      <w:r w:rsidRPr="007C5279">
        <w:rPr>
          <w:rFonts w:ascii="Calibri" w:hAnsi="Calibri"/>
          <w:sz w:val="22"/>
          <w:szCs w:val="22"/>
        </w:rPr>
        <w:t xml:space="preserve"> à </w:t>
      </w:r>
      <w:r>
        <w:rPr>
          <w:rFonts w:ascii="Calibri" w:hAnsi="Calibri"/>
          <w:sz w:val="22"/>
          <w:szCs w:val="22"/>
        </w:rPr>
        <w:t>104 373</w:t>
      </w:r>
      <w:r w:rsidRPr="007E2D1D">
        <w:rPr>
          <w:rFonts w:ascii="Calibri" w:hAnsi="Calibri"/>
          <w:sz w:val="22"/>
          <w:szCs w:val="22"/>
        </w:rPr>
        <w:t>k€</w:t>
      </w:r>
      <w:r w:rsidRPr="007C5279">
        <w:rPr>
          <w:rFonts w:ascii="Calibri" w:hAnsi="Calibri"/>
          <w:sz w:val="22"/>
          <w:szCs w:val="22"/>
        </w:rPr>
        <w:t>, en</w:t>
      </w:r>
      <w:r>
        <w:rPr>
          <w:rFonts w:ascii="Calibri" w:hAnsi="Calibri"/>
          <w:sz w:val="22"/>
          <w:szCs w:val="22"/>
        </w:rPr>
        <w:t xml:space="preserve"> ce inclus les intérêts échus et à échoir.</w:t>
      </w:r>
    </w:p>
    <w:p w14:paraId="0D6B3C68" w14:textId="77777777" w:rsidR="00FC05C7" w:rsidRPr="003323B9" w:rsidRDefault="00FC05C7" w:rsidP="00FC05C7">
      <w:pPr>
        <w:numPr>
          <w:ilvl w:val="0"/>
          <w:numId w:val="22"/>
        </w:numPr>
        <w:spacing w:after="120"/>
        <w:ind w:hanging="357"/>
        <w:jc w:val="both"/>
        <w:rPr>
          <w:rFonts w:ascii="Calibri" w:hAnsi="Calibri"/>
          <w:sz w:val="22"/>
          <w:szCs w:val="22"/>
        </w:rPr>
      </w:pPr>
      <w:r w:rsidRPr="003323B9">
        <w:rPr>
          <w:rFonts w:ascii="Calibri" w:hAnsi="Calibri"/>
          <w:sz w:val="22"/>
          <w:szCs w:val="22"/>
          <w:u w:val="single"/>
        </w:rPr>
        <w:t>Plans d’apurement – Consultations individuelles</w:t>
      </w:r>
      <w:r w:rsidRPr="003323B9">
        <w:rPr>
          <w:rFonts w:ascii="Calibri" w:hAnsi="Calibri"/>
          <w:sz w:val="22"/>
          <w:szCs w:val="22"/>
        </w:rPr>
        <w:t> :</w:t>
      </w:r>
    </w:p>
    <w:p w14:paraId="65F92703" w14:textId="77777777" w:rsidR="00FC05C7" w:rsidRPr="002611C7" w:rsidRDefault="00FC05C7" w:rsidP="00FC05C7">
      <w:pPr>
        <w:numPr>
          <w:ilvl w:val="1"/>
          <w:numId w:val="22"/>
        </w:numPr>
        <w:spacing w:after="120"/>
        <w:jc w:val="both"/>
        <w:rPr>
          <w:rFonts w:ascii="Calibri" w:hAnsi="Calibri"/>
          <w:sz w:val="22"/>
        </w:rPr>
      </w:pPr>
      <w:r w:rsidRPr="002611C7">
        <w:rPr>
          <w:rFonts w:ascii="Calibri" w:hAnsi="Calibri"/>
          <w:sz w:val="22"/>
        </w:rPr>
        <w:t xml:space="preserve">Les plans « classiques » concernent toutes les entités du Groupe en redressement judiciaire à l’exception de HFI, Foncière de Shery et </w:t>
      </w:r>
      <w:r>
        <w:rPr>
          <w:rFonts w:ascii="Calibri" w:hAnsi="Calibri"/>
          <w:sz w:val="22"/>
        </w:rPr>
        <w:t>Simha</w:t>
      </w:r>
      <w:r w:rsidRPr="002611C7">
        <w:rPr>
          <w:rFonts w:ascii="Calibri" w:hAnsi="Calibri"/>
          <w:sz w:val="22"/>
        </w:rPr>
        <w:t xml:space="preserve"> (pour lesquelles des classes de parties affectées ont été constituées), soit 27 entités. </w:t>
      </w:r>
    </w:p>
    <w:p w14:paraId="225A9800" w14:textId="77777777" w:rsidR="00FC05C7" w:rsidRPr="002611C7" w:rsidRDefault="00FC05C7" w:rsidP="00FC05C7">
      <w:pPr>
        <w:numPr>
          <w:ilvl w:val="1"/>
          <w:numId w:val="22"/>
        </w:numPr>
        <w:spacing w:after="120"/>
        <w:jc w:val="both"/>
        <w:rPr>
          <w:rFonts w:ascii="Calibri" w:hAnsi="Calibri"/>
          <w:sz w:val="22"/>
        </w:rPr>
      </w:pPr>
      <w:r w:rsidRPr="002611C7">
        <w:rPr>
          <w:rFonts w:ascii="Calibri" w:hAnsi="Calibri"/>
          <w:sz w:val="22"/>
        </w:rPr>
        <w:t xml:space="preserve">Le passif retenu correspond au passif déclaré entre les mains du mandataires judiciaires </w:t>
      </w:r>
      <w:r w:rsidRPr="002611C7">
        <w:rPr>
          <w:rFonts w:ascii="Calibri" w:hAnsi="Calibri"/>
          <w:sz w:val="22"/>
          <w:u w:val="single"/>
        </w:rPr>
        <w:t>uniquement retraité des doublons / cautions</w:t>
      </w:r>
      <w:r w:rsidRPr="002611C7">
        <w:rPr>
          <w:rFonts w:ascii="Calibri" w:hAnsi="Calibri"/>
          <w:sz w:val="22"/>
        </w:rPr>
        <w:t>. Des attestations confirmant les montants retenus pour chacun des plans ont été établies par l’expert-comptable du Groupe.</w:t>
      </w:r>
    </w:p>
    <w:p w14:paraId="0885FFC9" w14:textId="77777777" w:rsidR="00FC05C7" w:rsidRPr="002611C7" w:rsidRDefault="00FC05C7" w:rsidP="00FC05C7">
      <w:pPr>
        <w:numPr>
          <w:ilvl w:val="1"/>
          <w:numId w:val="22"/>
        </w:numPr>
        <w:spacing w:after="120"/>
        <w:jc w:val="both"/>
        <w:rPr>
          <w:rFonts w:ascii="Calibri" w:hAnsi="Calibri"/>
          <w:sz w:val="22"/>
        </w:rPr>
      </w:pPr>
      <w:r w:rsidRPr="002611C7">
        <w:rPr>
          <w:rFonts w:ascii="Calibri" w:hAnsi="Calibri"/>
          <w:sz w:val="22"/>
        </w:rPr>
        <w:t>Aucun abandon de créances n’est prévu dans les plans classiques.</w:t>
      </w:r>
    </w:p>
    <w:p w14:paraId="7636BA7E" w14:textId="413C0B11" w:rsidR="004160D0" w:rsidRPr="00FC05C7" w:rsidRDefault="00FC05C7" w:rsidP="00FC05C7">
      <w:pPr>
        <w:spacing w:after="160" w:line="259" w:lineRule="auto"/>
        <w:rPr>
          <w:rFonts w:ascii="Calibri" w:hAnsi="Calibri"/>
          <w:b/>
          <w:bCs/>
          <w:sz w:val="22"/>
          <w:szCs w:val="22"/>
          <w:lang w:bidi="fr-FR"/>
        </w:rPr>
      </w:pPr>
      <w:r>
        <w:br w:type="page"/>
      </w:r>
    </w:p>
    <w:p w14:paraId="62D24EEB" w14:textId="62E8F168" w:rsidR="004B732B" w:rsidRPr="00C17AE9" w:rsidRDefault="002342B3" w:rsidP="00C11DED">
      <w:pPr>
        <w:pStyle w:val="2MAJ-adresse"/>
        <w:numPr>
          <w:ilvl w:val="1"/>
          <w:numId w:val="9"/>
        </w:numPr>
      </w:pPr>
      <w:r>
        <w:lastRenderedPageBreak/>
        <w:t>Passif à apurer dans le cadre des projets de plan de redressement du Groupe</w:t>
      </w:r>
    </w:p>
    <w:p w14:paraId="636DDC0D" w14:textId="77777777" w:rsidR="003E2CD5" w:rsidRDefault="003E2CD5" w:rsidP="00C11DED">
      <w:pPr>
        <w:pStyle w:val="2MAJ-adresse"/>
      </w:pPr>
    </w:p>
    <w:p w14:paraId="4B44BAD3" w14:textId="77777777" w:rsidR="00FB0548" w:rsidRDefault="00FB0548" w:rsidP="00FB0548">
      <w:pPr>
        <w:pStyle w:val="2MAJ-paragraphe"/>
        <w:keepNext/>
      </w:pPr>
      <w:r>
        <w:t>Le passif à apurer dans le cadre des 27 projets de plan de redressement des sociétés du Groupe HFI en procédures collectives est synthétisé ci-après :</w:t>
      </w:r>
    </w:p>
    <w:p w14:paraId="26C01EF3" w14:textId="77777777" w:rsidR="00FB0548" w:rsidRDefault="00FB0548" w:rsidP="00FB0548">
      <w:pPr>
        <w:pStyle w:val="2MAJ-paragraphe"/>
        <w:keepNext/>
      </w:pPr>
    </w:p>
    <w:tbl>
      <w:tblPr>
        <w:tblW w:w="9500" w:type="dxa"/>
        <w:tblCellMar>
          <w:left w:w="70" w:type="dxa"/>
          <w:right w:w="70" w:type="dxa"/>
        </w:tblCellMar>
        <w:tblLook w:val="04A0" w:firstRow="1" w:lastRow="0" w:firstColumn="1" w:lastColumn="0" w:noHBand="0" w:noVBand="1"/>
      </w:tblPr>
      <w:tblGrid>
        <w:gridCol w:w="4700"/>
        <w:gridCol w:w="960"/>
        <w:gridCol w:w="960"/>
        <w:gridCol w:w="960"/>
        <w:gridCol w:w="960"/>
        <w:gridCol w:w="960"/>
      </w:tblGrid>
      <w:tr w:rsidR="00FB0548" w14:paraId="46F1A3F4" w14:textId="77777777" w:rsidTr="007D6452">
        <w:trPr>
          <w:trHeight w:val="260"/>
        </w:trPr>
        <w:tc>
          <w:tcPr>
            <w:tcW w:w="4700" w:type="dxa"/>
            <w:tcBorders>
              <w:top w:val="nil"/>
              <w:left w:val="nil"/>
              <w:bottom w:val="nil"/>
              <w:right w:val="nil"/>
            </w:tcBorders>
            <w:noWrap/>
            <w:vAlign w:val="center"/>
            <w:hideMark/>
          </w:tcPr>
          <w:p w14:paraId="33701224" w14:textId="77777777" w:rsidR="00FB0548" w:rsidRDefault="00FB0548" w:rsidP="007D6452">
            <w:pPr>
              <w:keepNext/>
              <w:rPr>
                <w:rFonts w:ascii="Arial" w:hAnsi="Arial" w:cs="Arial"/>
                <w:b/>
                <w:bCs/>
                <w:color w:val="000000"/>
                <w:sz w:val="20"/>
                <w:szCs w:val="20"/>
              </w:rPr>
            </w:pPr>
            <w:r>
              <w:rPr>
                <w:rFonts w:ascii="Arial" w:hAnsi="Arial" w:cs="Arial"/>
                <w:b/>
                <w:bCs/>
                <w:color w:val="000000"/>
                <w:sz w:val="20"/>
                <w:szCs w:val="20"/>
              </w:rPr>
              <w:t>Plan de redressement - Périmètre global</w:t>
            </w:r>
          </w:p>
        </w:tc>
        <w:tc>
          <w:tcPr>
            <w:tcW w:w="960" w:type="dxa"/>
            <w:tcBorders>
              <w:top w:val="nil"/>
              <w:left w:val="nil"/>
              <w:bottom w:val="nil"/>
              <w:right w:val="nil"/>
            </w:tcBorders>
            <w:noWrap/>
            <w:vAlign w:val="center"/>
            <w:hideMark/>
          </w:tcPr>
          <w:p w14:paraId="6D74BBF4" w14:textId="77777777" w:rsidR="00FB0548" w:rsidRDefault="00FB0548" w:rsidP="007D6452">
            <w:pPr>
              <w:keepNext/>
              <w:rPr>
                <w:rFonts w:ascii="Arial" w:hAnsi="Arial" w:cs="Arial"/>
                <w:b/>
                <w:bCs/>
                <w:color w:val="000000"/>
                <w:sz w:val="20"/>
                <w:szCs w:val="20"/>
              </w:rPr>
            </w:pPr>
          </w:p>
        </w:tc>
        <w:tc>
          <w:tcPr>
            <w:tcW w:w="960" w:type="dxa"/>
            <w:tcBorders>
              <w:top w:val="nil"/>
              <w:left w:val="nil"/>
              <w:bottom w:val="nil"/>
              <w:right w:val="nil"/>
            </w:tcBorders>
            <w:noWrap/>
            <w:vAlign w:val="center"/>
            <w:hideMark/>
          </w:tcPr>
          <w:p w14:paraId="325B676B"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779B3D5F"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198E6CFC"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07F7C29D" w14:textId="77777777" w:rsidR="00FB0548" w:rsidRDefault="00FB0548" w:rsidP="007D6452">
            <w:pPr>
              <w:keepNext/>
              <w:rPr>
                <w:sz w:val="20"/>
                <w:szCs w:val="20"/>
              </w:rPr>
            </w:pPr>
          </w:p>
        </w:tc>
      </w:tr>
      <w:tr w:rsidR="00FB0548" w14:paraId="32702126" w14:textId="77777777" w:rsidTr="007D6452">
        <w:trPr>
          <w:trHeight w:val="210"/>
        </w:trPr>
        <w:tc>
          <w:tcPr>
            <w:tcW w:w="4700" w:type="dxa"/>
            <w:tcBorders>
              <w:top w:val="nil"/>
              <w:left w:val="nil"/>
              <w:bottom w:val="nil"/>
              <w:right w:val="nil"/>
            </w:tcBorders>
            <w:noWrap/>
            <w:vAlign w:val="center"/>
            <w:hideMark/>
          </w:tcPr>
          <w:p w14:paraId="3F2B93D8" w14:textId="77777777" w:rsidR="00FB0548" w:rsidRDefault="00FB0548" w:rsidP="007D6452">
            <w:pPr>
              <w:keepNext/>
              <w:rPr>
                <w:sz w:val="20"/>
                <w:szCs w:val="20"/>
              </w:rPr>
            </w:pPr>
          </w:p>
        </w:tc>
        <w:tc>
          <w:tcPr>
            <w:tcW w:w="960" w:type="dxa"/>
            <w:tcBorders>
              <w:top w:val="nil"/>
              <w:left w:val="nil"/>
              <w:bottom w:val="nil"/>
              <w:right w:val="nil"/>
            </w:tcBorders>
            <w:vAlign w:val="center"/>
            <w:hideMark/>
          </w:tcPr>
          <w:p w14:paraId="05D394E6"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-26</w:t>
            </w:r>
          </w:p>
        </w:tc>
        <w:tc>
          <w:tcPr>
            <w:tcW w:w="960" w:type="dxa"/>
            <w:tcBorders>
              <w:top w:val="nil"/>
              <w:left w:val="nil"/>
              <w:bottom w:val="nil"/>
              <w:right w:val="nil"/>
            </w:tcBorders>
            <w:vAlign w:val="center"/>
            <w:hideMark/>
          </w:tcPr>
          <w:p w14:paraId="2103DD59"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960" w:type="dxa"/>
            <w:tcBorders>
              <w:top w:val="nil"/>
              <w:left w:val="nil"/>
              <w:bottom w:val="nil"/>
              <w:right w:val="nil"/>
            </w:tcBorders>
            <w:vAlign w:val="center"/>
            <w:hideMark/>
          </w:tcPr>
          <w:p w14:paraId="2C4F761A"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960" w:type="dxa"/>
            <w:tcBorders>
              <w:top w:val="nil"/>
              <w:left w:val="nil"/>
              <w:bottom w:val="nil"/>
              <w:right w:val="nil"/>
            </w:tcBorders>
            <w:vAlign w:val="center"/>
            <w:hideMark/>
          </w:tcPr>
          <w:p w14:paraId="7F7283F4"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960" w:type="dxa"/>
            <w:tcBorders>
              <w:top w:val="nil"/>
              <w:left w:val="nil"/>
              <w:bottom w:val="nil"/>
              <w:right w:val="nil"/>
            </w:tcBorders>
            <w:vAlign w:val="center"/>
            <w:hideMark/>
          </w:tcPr>
          <w:p w14:paraId="673D36E7"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r>
      <w:tr w:rsidR="00FB0548" w14:paraId="182780A2" w14:textId="77777777" w:rsidTr="007D6452">
        <w:trPr>
          <w:trHeight w:val="210"/>
        </w:trPr>
        <w:tc>
          <w:tcPr>
            <w:tcW w:w="4700" w:type="dxa"/>
            <w:tcBorders>
              <w:top w:val="nil"/>
              <w:left w:val="nil"/>
              <w:bottom w:val="single" w:sz="4" w:space="0" w:color="000000"/>
              <w:right w:val="nil"/>
            </w:tcBorders>
            <w:noWrap/>
            <w:vAlign w:val="center"/>
            <w:hideMark/>
          </w:tcPr>
          <w:p w14:paraId="12B4717E"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En k€</w:t>
            </w:r>
          </w:p>
        </w:tc>
        <w:tc>
          <w:tcPr>
            <w:tcW w:w="960" w:type="dxa"/>
            <w:tcBorders>
              <w:top w:val="nil"/>
              <w:left w:val="nil"/>
              <w:bottom w:val="single" w:sz="4" w:space="0" w:color="000000"/>
              <w:right w:val="nil"/>
            </w:tcBorders>
            <w:vAlign w:val="center"/>
            <w:hideMark/>
          </w:tcPr>
          <w:p w14:paraId="2F72BB94"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960" w:type="dxa"/>
            <w:tcBorders>
              <w:top w:val="nil"/>
              <w:left w:val="nil"/>
              <w:bottom w:val="single" w:sz="4" w:space="0" w:color="000000"/>
              <w:right w:val="nil"/>
            </w:tcBorders>
            <w:vAlign w:val="center"/>
            <w:hideMark/>
          </w:tcPr>
          <w:p w14:paraId="5F92D735"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960" w:type="dxa"/>
            <w:tcBorders>
              <w:top w:val="nil"/>
              <w:left w:val="nil"/>
              <w:bottom w:val="single" w:sz="4" w:space="0" w:color="000000"/>
              <w:right w:val="nil"/>
            </w:tcBorders>
            <w:vAlign w:val="center"/>
            <w:hideMark/>
          </w:tcPr>
          <w:p w14:paraId="1F57002C"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960" w:type="dxa"/>
            <w:tcBorders>
              <w:top w:val="nil"/>
              <w:left w:val="nil"/>
              <w:bottom w:val="single" w:sz="4" w:space="0" w:color="000000"/>
              <w:right w:val="nil"/>
            </w:tcBorders>
            <w:vAlign w:val="center"/>
            <w:hideMark/>
          </w:tcPr>
          <w:p w14:paraId="67AE4B62"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c>
          <w:tcPr>
            <w:tcW w:w="960" w:type="dxa"/>
            <w:tcBorders>
              <w:top w:val="nil"/>
              <w:left w:val="nil"/>
              <w:bottom w:val="single" w:sz="4" w:space="0" w:color="000000"/>
              <w:right w:val="nil"/>
            </w:tcBorders>
            <w:vAlign w:val="center"/>
            <w:hideMark/>
          </w:tcPr>
          <w:p w14:paraId="248EDFAC" w14:textId="77777777" w:rsidR="00FB0548" w:rsidRDefault="00FB0548" w:rsidP="007D6452">
            <w:pPr>
              <w:keepNext/>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-31</w:t>
            </w:r>
          </w:p>
        </w:tc>
      </w:tr>
      <w:tr w:rsidR="00FB0548" w14:paraId="43BD70F8" w14:textId="77777777" w:rsidTr="007D6452">
        <w:trPr>
          <w:trHeight w:val="108"/>
        </w:trPr>
        <w:tc>
          <w:tcPr>
            <w:tcW w:w="4700" w:type="dxa"/>
            <w:tcBorders>
              <w:top w:val="nil"/>
              <w:left w:val="nil"/>
              <w:bottom w:val="nil"/>
              <w:right w:val="nil"/>
            </w:tcBorders>
            <w:noWrap/>
            <w:vAlign w:val="center"/>
            <w:hideMark/>
          </w:tcPr>
          <w:p w14:paraId="3E7E94B4"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191B8CAB"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50F03657"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2A61869E"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7A761B29"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1FFCE3D7" w14:textId="77777777" w:rsidR="00FB0548" w:rsidRDefault="00FB0548" w:rsidP="007D6452">
            <w:pPr>
              <w:keepNext/>
              <w:rPr>
                <w:sz w:val="20"/>
                <w:szCs w:val="20"/>
              </w:rPr>
            </w:pPr>
          </w:p>
        </w:tc>
      </w:tr>
      <w:tr w:rsidR="00FB0548" w14:paraId="0B97EC4D" w14:textId="77777777" w:rsidTr="007D6452">
        <w:trPr>
          <w:trHeight w:val="200"/>
        </w:trPr>
        <w:tc>
          <w:tcPr>
            <w:tcW w:w="4700" w:type="dxa"/>
            <w:tcBorders>
              <w:top w:val="single" w:sz="4" w:space="0" w:color="7F7F7F"/>
              <w:left w:val="nil"/>
              <w:bottom w:val="nil"/>
              <w:right w:val="nil"/>
            </w:tcBorders>
            <w:shd w:val="clear" w:color="000000" w:fill="F2F2F2"/>
            <w:noWrap/>
            <w:vAlign w:val="center"/>
            <w:hideMark/>
          </w:tcPr>
          <w:p w14:paraId="55A3A6F8" w14:textId="77777777" w:rsidR="00FB0548" w:rsidRDefault="00FB0548" w:rsidP="007D6452">
            <w:pPr>
              <w:keepNext/>
              <w:rPr>
                <w:rFonts w:ascii="Arial" w:hAnsi="Arial" w:cs="Arial"/>
                <w:sz w:val="16"/>
                <w:szCs w:val="16"/>
              </w:rPr>
            </w:pPr>
            <w:r>
              <w:rPr>
                <w:rFonts w:ascii="Arial" w:hAnsi="Arial" w:cs="Arial"/>
                <w:sz w:val="16"/>
                <w:szCs w:val="16"/>
              </w:rPr>
              <w:t>Passif à rembourser - Ouverture</w:t>
            </w:r>
          </w:p>
        </w:tc>
        <w:tc>
          <w:tcPr>
            <w:tcW w:w="960" w:type="dxa"/>
            <w:tcBorders>
              <w:top w:val="single" w:sz="4" w:space="0" w:color="7F7F7F"/>
              <w:left w:val="nil"/>
              <w:bottom w:val="nil"/>
              <w:right w:val="nil"/>
            </w:tcBorders>
            <w:shd w:val="clear" w:color="000000" w:fill="F2F2F2"/>
            <w:noWrap/>
            <w:vAlign w:val="center"/>
            <w:hideMark/>
          </w:tcPr>
          <w:p w14:paraId="02495FE0" w14:textId="77777777" w:rsidR="00FB0548" w:rsidRDefault="00FB0548" w:rsidP="007D6452">
            <w:pPr>
              <w:keepNext/>
              <w:jc w:val="right"/>
              <w:rPr>
                <w:rFonts w:ascii="Arial" w:hAnsi="Arial" w:cs="Arial"/>
                <w:sz w:val="16"/>
                <w:szCs w:val="16"/>
              </w:rPr>
            </w:pPr>
            <w:bookmarkStart w:id="40" w:name="RANGE!CD7"/>
            <w:r>
              <w:rPr>
                <w:rFonts w:ascii="Arial" w:hAnsi="Arial" w:cs="Arial"/>
                <w:sz w:val="16"/>
                <w:szCs w:val="16"/>
              </w:rPr>
              <w:t xml:space="preserve">104 373 </w:t>
            </w:r>
            <w:bookmarkEnd w:id="40"/>
          </w:p>
        </w:tc>
        <w:tc>
          <w:tcPr>
            <w:tcW w:w="960" w:type="dxa"/>
            <w:tcBorders>
              <w:top w:val="single" w:sz="4" w:space="0" w:color="7F7F7F"/>
              <w:left w:val="nil"/>
              <w:bottom w:val="nil"/>
              <w:right w:val="nil"/>
            </w:tcBorders>
            <w:shd w:val="clear" w:color="000000" w:fill="F2F2F2"/>
            <w:noWrap/>
            <w:vAlign w:val="center"/>
            <w:hideMark/>
          </w:tcPr>
          <w:p w14:paraId="53EFB771" w14:textId="77777777" w:rsidR="00FB0548" w:rsidRDefault="00FB0548" w:rsidP="007D6452">
            <w:pPr>
              <w:keepNext/>
              <w:jc w:val="right"/>
              <w:rPr>
                <w:rFonts w:ascii="Arial" w:hAnsi="Arial" w:cs="Arial"/>
                <w:sz w:val="16"/>
                <w:szCs w:val="16"/>
              </w:rPr>
            </w:pPr>
            <w:r>
              <w:rPr>
                <w:rFonts w:ascii="Arial" w:hAnsi="Arial" w:cs="Arial"/>
                <w:sz w:val="16"/>
                <w:szCs w:val="16"/>
              </w:rPr>
              <w:t xml:space="preserve">103 330 </w:t>
            </w:r>
          </w:p>
        </w:tc>
        <w:tc>
          <w:tcPr>
            <w:tcW w:w="960" w:type="dxa"/>
            <w:tcBorders>
              <w:top w:val="single" w:sz="4" w:space="0" w:color="7F7F7F"/>
              <w:left w:val="nil"/>
              <w:bottom w:val="nil"/>
              <w:right w:val="nil"/>
            </w:tcBorders>
            <w:shd w:val="clear" w:color="000000" w:fill="F2F2F2"/>
            <w:noWrap/>
            <w:vAlign w:val="center"/>
            <w:hideMark/>
          </w:tcPr>
          <w:p w14:paraId="2E5D4431" w14:textId="77777777" w:rsidR="00FB0548" w:rsidRDefault="00FB0548" w:rsidP="007D6452">
            <w:pPr>
              <w:keepNext/>
              <w:jc w:val="right"/>
              <w:rPr>
                <w:rFonts w:ascii="Arial" w:hAnsi="Arial" w:cs="Arial"/>
                <w:sz w:val="16"/>
                <w:szCs w:val="16"/>
              </w:rPr>
            </w:pPr>
            <w:r>
              <w:rPr>
                <w:rFonts w:ascii="Arial" w:hAnsi="Arial" w:cs="Arial"/>
                <w:sz w:val="16"/>
                <w:szCs w:val="16"/>
              </w:rPr>
              <w:t xml:space="preserve">102 286 </w:t>
            </w:r>
          </w:p>
        </w:tc>
        <w:tc>
          <w:tcPr>
            <w:tcW w:w="960" w:type="dxa"/>
            <w:tcBorders>
              <w:top w:val="single" w:sz="4" w:space="0" w:color="7F7F7F"/>
              <w:left w:val="nil"/>
              <w:bottom w:val="nil"/>
              <w:right w:val="nil"/>
            </w:tcBorders>
            <w:shd w:val="clear" w:color="000000" w:fill="F2F2F2"/>
            <w:noWrap/>
            <w:vAlign w:val="center"/>
            <w:hideMark/>
          </w:tcPr>
          <w:p w14:paraId="4B0DE9FC" w14:textId="77777777" w:rsidR="00FB0548" w:rsidRDefault="00FB0548" w:rsidP="007D6452">
            <w:pPr>
              <w:keepNext/>
              <w:jc w:val="right"/>
              <w:rPr>
                <w:rFonts w:ascii="Arial" w:hAnsi="Arial" w:cs="Arial"/>
                <w:sz w:val="16"/>
                <w:szCs w:val="16"/>
              </w:rPr>
            </w:pPr>
            <w:r>
              <w:rPr>
                <w:rFonts w:ascii="Arial" w:hAnsi="Arial" w:cs="Arial"/>
                <w:sz w:val="16"/>
                <w:szCs w:val="16"/>
              </w:rPr>
              <w:t xml:space="preserve">97 067 </w:t>
            </w:r>
          </w:p>
        </w:tc>
        <w:tc>
          <w:tcPr>
            <w:tcW w:w="960" w:type="dxa"/>
            <w:tcBorders>
              <w:top w:val="single" w:sz="4" w:space="0" w:color="7F7F7F"/>
              <w:left w:val="nil"/>
              <w:bottom w:val="nil"/>
              <w:right w:val="nil"/>
            </w:tcBorders>
            <w:shd w:val="clear" w:color="000000" w:fill="F2F2F2"/>
            <w:noWrap/>
            <w:vAlign w:val="center"/>
            <w:hideMark/>
          </w:tcPr>
          <w:p w14:paraId="6FD64EBF" w14:textId="77777777" w:rsidR="00FB0548" w:rsidRDefault="00FB0548" w:rsidP="007D6452">
            <w:pPr>
              <w:keepNext/>
              <w:jc w:val="right"/>
              <w:rPr>
                <w:rFonts w:ascii="Arial" w:hAnsi="Arial" w:cs="Arial"/>
                <w:sz w:val="16"/>
                <w:szCs w:val="16"/>
              </w:rPr>
            </w:pPr>
            <w:r>
              <w:rPr>
                <w:rFonts w:ascii="Arial" w:hAnsi="Arial" w:cs="Arial"/>
                <w:sz w:val="16"/>
                <w:szCs w:val="16"/>
              </w:rPr>
              <w:t xml:space="preserve">91 849 </w:t>
            </w:r>
          </w:p>
        </w:tc>
      </w:tr>
      <w:tr w:rsidR="00FB0548" w14:paraId="4C2DE97B" w14:textId="77777777" w:rsidTr="007D6452">
        <w:trPr>
          <w:trHeight w:val="200"/>
        </w:trPr>
        <w:tc>
          <w:tcPr>
            <w:tcW w:w="4700" w:type="dxa"/>
            <w:tcBorders>
              <w:top w:val="nil"/>
              <w:left w:val="nil"/>
              <w:bottom w:val="single" w:sz="4" w:space="0" w:color="7F7F7F"/>
              <w:right w:val="nil"/>
            </w:tcBorders>
            <w:shd w:val="clear" w:color="000000" w:fill="F2F2F2"/>
            <w:noWrap/>
            <w:vAlign w:val="center"/>
            <w:hideMark/>
          </w:tcPr>
          <w:p w14:paraId="5E5103A3" w14:textId="77777777" w:rsidR="00FB0548" w:rsidRDefault="00FB0548" w:rsidP="007D6452">
            <w:pPr>
              <w:keepNext/>
              <w:rPr>
                <w:rFonts w:ascii="Arial" w:hAnsi="Arial" w:cs="Arial"/>
                <w:sz w:val="16"/>
                <w:szCs w:val="16"/>
              </w:rPr>
            </w:pPr>
            <w:r>
              <w:rPr>
                <w:rFonts w:ascii="Arial" w:hAnsi="Arial" w:cs="Arial"/>
                <w:sz w:val="16"/>
                <w:szCs w:val="16"/>
              </w:rPr>
              <w:t>Passif à rembourser - Clôture</w:t>
            </w:r>
          </w:p>
        </w:tc>
        <w:tc>
          <w:tcPr>
            <w:tcW w:w="960" w:type="dxa"/>
            <w:tcBorders>
              <w:top w:val="nil"/>
              <w:left w:val="nil"/>
              <w:bottom w:val="single" w:sz="4" w:space="0" w:color="7F7F7F"/>
              <w:right w:val="nil"/>
            </w:tcBorders>
            <w:shd w:val="clear" w:color="000000" w:fill="F2F2F2"/>
            <w:noWrap/>
            <w:vAlign w:val="center"/>
            <w:hideMark/>
          </w:tcPr>
          <w:p w14:paraId="650570DC" w14:textId="77777777" w:rsidR="00FB0548" w:rsidRDefault="00FB0548" w:rsidP="007D6452">
            <w:pPr>
              <w:keepNext/>
              <w:jc w:val="right"/>
              <w:rPr>
                <w:rFonts w:ascii="Arial" w:hAnsi="Arial" w:cs="Arial"/>
                <w:sz w:val="16"/>
                <w:szCs w:val="16"/>
              </w:rPr>
            </w:pPr>
            <w:r>
              <w:rPr>
                <w:rFonts w:ascii="Arial" w:hAnsi="Arial" w:cs="Arial"/>
                <w:sz w:val="16"/>
                <w:szCs w:val="16"/>
              </w:rPr>
              <w:t xml:space="preserve">103 330 </w:t>
            </w:r>
          </w:p>
        </w:tc>
        <w:tc>
          <w:tcPr>
            <w:tcW w:w="960" w:type="dxa"/>
            <w:tcBorders>
              <w:top w:val="nil"/>
              <w:left w:val="nil"/>
              <w:bottom w:val="single" w:sz="4" w:space="0" w:color="7F7F7F"/>
              <w:right w:val="nil"/>
            </w:tcBorders>
            <w:shd w:val="clear" w:color="000000" w:fill="F2F2F2"/>
            <w:noWrap/>
            <w:vAlign w:val="center"/>
            <w:hideMark/>
          </w:tcPr>
          <w:p w14:paraId="1CC7904D" w14:textId="77777777" w:rsidR="00FB0548" w:rsidRDefault="00FB0548" w:rsidP="007D6452">
            <w:pPr>
              <w:keepNext/>
              <w:jc w:val="right"/>
              <w:rPr>
                <w:rFonts w:ascii="Arial" w:hAnsi="Arial" w:cs="Arial"/>
                <w:sz w:val="16"/>
                <w:szCs w:val="16"/>
              </w:rPr>
            </w:pPr>
            <w:r>
              <w:rPr>
                <w:rFonts w:ascii="Arial" w:hAnsi="Arial" w:cs="Arial"/>
                <w:sz w:val="16"/>
                <w:szCs w:val="16"/>
              </w:rPr>
              <w:t xml:space="preserve">102 286 </w:t>
            </w:r>
          </w:p>
        </w:tc>
        <w:tc>
          <w:tcPr>
            <w:tcW w:w="960" w:type="dxa"/>
            <w:tcBorders>
              <w:top w:val="nil"/>
              <w:left w:val="nil"/>
              <w:bottom w:val="single" w:sz="4" w:space="0" w:color="7F7F7F"/>
              <w:right w:val="nil"/>
            </w:tcBorders>
            <w:shd w:val="clear" w:color="000000" w:fill="F2F2F2"/>
            <w:noWrap/>
            <w:vAlign w:val="center"/>
            <w:hideMark/>
          </w:tcPr>
          <w:p w14:paraId="2EF78E6D" w14:textId="77777777" w:rsidR="00FB0548" w:rsidRDefault="00FB0548" w:rsidP="007D6452">
            <w:pPr>
              <w:keepNext/>
              <w:jc w:val="right"/>
              <w:rPr>
                <w:rFonts w:ascii="Arial" w:hAnsi="Arial" w:cs="Arial"/>
                <w:sz w:val="16"/>
                <w:szCs w:val="16"/>
              </w:rPr>
            </w:pPr>
            <w:r>
              <w:rPr>
                <w:rFonts w:ascii="Arial" w:hAnsi="Arial" w:cs="Arial"/>
                <w:sz w:val="16"/>
                <w:szCs w:val="16"/>
              </w:rPr>
              <w:t xml:space="preserve">97 067 </w:t>
            </w:r>
          </w:p>
        </w:tc>
        <w:tc>
          <w:tcPr>
            <w:tcW w:w="960" w:type="dxa"/>
            <w:tcBorders>
              <w:top w:val="nil"/>
              <w:left w:val="nil"/>
              <w:bottom w:val="single" w:sz="4" w:space="0" w:color="7F7F7F"/>
              <w:right w:val="nil"/>
            </w:tcBorders>
            <w:shd w:val="clear" w:color="000000" w:fill="F2F2F2"/>
            <w:noWrap/>
            <w:vAlign w:val="center"/>
            <w:hideMark/>
          </w:tcPr>
          <w:p w14:paraId="6A1FA4C4" w14:textId="77777777" w:rsidR="00FB0548" w:rsidRDefault="00FB0548" w:rsidP="007D6452">
            <w:pPr>
              <w:keepNext/>
              <w:jc w:val="right"/>
              <w:rPr>
                <w:rFonts w:ascii="Arial" w:hAnsi="Arial" w:cs="Arial"/>
                <w:sz w:val="16"/>
                <w:szCs w:val="16"/>
              </w:rPr>
            </w:pPr>
            <w:r>
              <w:rPr>
                <w:rFonts w:ascii="Arial" w:hAnsi="Arial" w:cs="Arial"/>
                <w:sz w:val="16"/>
                <w:szCs w:val="16"/>
              </w:rPr>
              <w:t xml:space="preserve">91 849 </w:t>
            </w:r>
          </w:p>
        </w:tc>
        <w:tc>
          <w:tcPr>
            <w:tcW w:w="960" w:type="dxa"/>
            <w:tcBorders>
              <w:top w:val="nil"/>
              <w:left w:val="nil"/>
              <w:bottom w:val="single" w:sz="4" w:space="0" w:color="7F7F7F"/>
              <w:right w:val="nil"/>
            </w:tcBorders>
            <w:shd w:val="clear" w:color="000000" w:fill="F2F2F2"/>
            <w:noWrap/>
            <w:vAlign w:val="center"/>
            <w:hideMark/>
          </w:tcPr>
          <w:p w14:paraId="5B00E3BE"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r>
      <w:tr w:rsidR="00FB0548" w14:paraId="4A53FD16" w14:textId="77777777" w:rsidTr="007D6452">
        <w:trPr>
          <w:trHeight w:val="108"/>
        </w:trPr>
        <w:tc>
          <w:tcPr>
            <w:tcW w:w="4700" w:type="dxa"/>
            <w:tcBorders>
              <w:top w:val="nil"/>
              <w:left w:val="nil"/>
              <w:bottom w:val="nil"/>
              <w:right w:val="nil"/>
            </w:tcBorders>
            <w:noWrap/>
            <w:vAlign w:val="center"/>
            <w:hideMark/>
          </w:tcPr>
          <w:p w14:paraId="1862FE62" w14:textId="77777777" w:rsidR="00FB0548" w:rsidRDefault="00FB0548" w:rsidP="007D6452">
            <w:pPr>
              <w:keepNext/>
              <w:jc w:val="right"/>
              <w:rPr>
                <w:rFonts w:ascii="Arial" w:hAnsi="Arial" w:cs="Arial"/>
                <w:sz w:val="16"/>
                <w:szCs w:val="16"/>
              </w:rPr>
            </w:pPr>
          </w:p>
        </w:tc>
        <w:tc>
          <w:tcPr>
            <w:tcW w:w="960" w:type="dxa"/>
            <w:tcBorders>
              <w:top w:val="nil"/>
              <w:left w:val="nil"/>
              <w:bottom w:val="nil"/>
              <w:right w:val="nil"/>
            </w:tcBorders>
            <w:noWrap/>
            <w:vAlign w:val="center"/>
            <w:hideMark/>
          </w:tcPr>
          <w:p w14:paraId="28C5C241"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45BA0A7C"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0D310CD8"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DC66D1F"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30551003" w14:textId="77777777" w:rsidR="00FB0548" w:rsidRDefault="00FB0548" w:rsidP="007D6452">
            <w:pPr>
              <w:keepNext/>
              <w:jc w:val="right"/>
              <w:rPr>
                <w:sz w:val="20"/>
                <w:szCs w:val="20"/>
              </w:rPr>
            </w:pPr>
          </w:p>
        </w:tc>
      </w:tr>
      <w:tr w:rsidR="00FB0548" w14:paraId="630A3AD0" w14:textId="77777777" w:rsidTr="007D6452">
        <w:trPr>
          <w:trHeight w:val="210"/>
        </w:trPr>
        <w:tc>
          <w:tcPr>
            <w:tcW w:w="4700" w:type="dxa"/>
            <w:tcBorders>
              <w:top w:val="single" w:sz="4" w:space="0" w:color="7F7F7F"/>
              <w:left w:val="nil"/>
              <w:bottom w:val="single" w:sz="4" w:space="0" w:color="7F7F7F"/>
              <w:right w:val="nil"/>
            </w:tcBorders>
            <w:shd w:val="clear" w:color="000000" w:fill="ECF2F8"/>
            <w:noWrap/>
            <w:vAlign w:val="center"/>
            <w:hideMark/>
          </w:tcPr>
          <w:p w14:paraId="1320FF19"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Dividendes du plan</w:t>
            </w:r>
          </w:p>
        </w:tc>
        <w:tc>
          <w:tcPr>
            <w:tcW w:w="960" w:type="dxa"/>
            <w:tcBorders>
              <w:top w:val="single" w:sz="4" w:space="0" w:color="7F7F7F"/>
              <w:left w:val="nil"/>
              <w:bottom w:val="single" w:sz="4" w:space="0" w:color="7F7F7F"/>
              <w:right w:val="nil"/>
            </w:tcBorders>
            <w:shd w:val="clear" w:color="000000" w:fill="ECF2F8"/>
            <w:noWrap/>
            <w:vAlign w:val="center"/>
            <w:hideMark/>
          </w:tcPr>
          <w:p w14:paraId="73E72E35"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(1 044)</w:t>
            </w:r>
          </w:p>
        </w:tc>
        <w:tc>
          <w:tcPr>
            <w:tcW w:w="960" w:type="dxa"/>
            <w:tcBorders>
              <w:top w:val="single" w:sz="4" w:space="0" w:color="7F7F7F"/>
              <w:left w:val="nil"/>
              <w:bottom w:val="single" w:sz="4" w:space="0" w:color="7F7F7F"/>
              <w:right w:val="nil"/>
            </w:tcBorders>
            <w:shd w:val="clear" w:color="000000" w:fill="ECF2F8"/>
            <w:noWrap/>
            <w:vAlign w:val="center"/>
            <w:hideMark/>
          </w:tcPr>
          <w:p w14:paraId="06E49614"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(1 044)</w:t>
            </w:r>
          </w:p>
        </w:tc>
        <w:tc>
          <w:tcPr>
            <w:tcW w:w="960" w:type="dxa"/>
            <w:tcBorders>
              <w:top w:val="single" w:sz="4" w:space="0" w:color="7F7F7F"/>
              <w:left w:val="nil"/>
              <w:bottom w:val="single" w:sz="4" w:space="0" w:color="7F7F7F"/>
              <w:right w:val="nil"/>
            </w:tcBorders>
            <w:shd w:val="clear" w:color="000000" w:fill="ECF2F8"/>
            <w:noWrap/>
            <w:vAlign w:val="center"/>
            <w:hideMark/>
          </w:tcPr>
          <w:p w14:paraId="0A5E2342"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(5 219)</w:t>
            </w:r>
          </w:p>
        </w:tc>
        <w:tc>
          <w:tcPr>
            <w:tcW w:w="960" w:type="dxa"/>
            <w:tcBorders>
              <w:top w:val="single" w:sz="4" w:space="0" w:color="7F7F7F"/>
              <w:left w:val="nil"/>
              <w:bottom w:val="single" w:sz="4" w:space="0" w:color="7F7F7F"/>
              <w:right w:val="nil"/>
            </w:tcBorders>
            <w:shd w:val="clear" w:color="000000" w:fill="ECF2F8"/>
            <w:noWrap/>
            <w:vAlign w:val="center"/>
            <w:hideMark/>
          </w:tcPr>
          <w:p w14:paraId="587B51F9"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(5 219)</w:t>
            </w:r>
          </w:p>
        </w:tc>
        <w:tc>
          <w:tcPr>
            <w:tcW w:w="960" w:type="dxa"/>
            <w:tcBorders>
              <w:top w:val="single" w:sz="4" w:space="0" w:color="7F7F7F"/>
              <w:left w:val="nil"/>
              <w:bottom w:val="single" w:sz="4" w:space="0" w:color="7F7F7F"/>
              <w:right w:val="nil"/>
            </w:tcBorders>
            <w:shd w:val="clear" w:color="000000" w:fill="ECF2F8"/>
            <w:noWrap/>
            <w:vAlign w:val="center"/>
            <w:hideMark/>
          </w:tcPr>
          <w:p w14:paraId="0E04A3BD"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(91 849)</w:t>
            </w:r>
          </w:p>
        </w:tc>
      </w:tr>
      <w:tr w:rsidR="00FB0548" w14:paraId="383F0DA9" w14:textId="77777777" w:rsidTr="007D6452">
        <w:trPr>
          <w:trHeight w:val="108"/>
        </w:trPr>
        <w:tc>
          <w:tcPr>
            <w:tcW w:w="4700" w:type="dxa"/>
            <w:tcBorders>
              <w:top w:val="nil"/>
              <w:left w:val="nil"/>
              <w:bottom w:val="nil"/>
              <w:right w:val="nil"/>
            </w:tcBorders>
            <w:noWrap/>
            <w:vAlign w:val="center"/>
            <w:hideMark/>
          </w:tcPr>
          <w:p w14:paraId="1A7F1D66"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199791BF"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66BF0EFF"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4AAF38D5"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3F24284F"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692B2BE0" w14:textId="77777777" w:rsidR="00FB0548" w:rsidRDefault="00FB0548" w:rsidP="007D6452">
            <w:pPr>
              <w:keepNext/>
              <w:jc w:val="right"/>
              <w:rPr>
                <w:sz w:val="20"/>
                <w:szCs w:val="20"/>
              </w:rPr>
            </w:pPr>
          </w:p>
        </w:tc>
      </w:tr>
      <w:tr w:rsidR="00FB0548" w14:paraId="52940F61" w14:textId="77777777" w:rsidTr="007D6452">
        <w:trPr>
          <w:trHeight w:val="200"/>
        </w:trPr>
        <w:tc>
          <w:tcPr>
            <w:tcW w:w="4700" w:type="dxa"/>
            <w:tcBorders>
              <w:top w:val="nil"/>
              <w:left w:val="nil"/>
              <w:bottom w:val="nil"/>
              <w:right w:val="nil"/>
            </w:tcBorders>
            <w:shd w:val="clear" w:color="000000" w:fill="F2F2F2"/>
            <w:noWrap/>
            <w:vAlign w:val="center"/>
            <w:hideMark/>
          </w:tcPr>
          <w:p w14:paraId="65FBEBB4" w14:textId="77777777" w:rsidR="00FB0548" w:rsidRDefault="00FB0548" w:rsidP="007D6452">
            <w:pPr>
              <w:keepNext/>
              <w:rPr>
                <w:rFonts w:ascii="Arial" w:hAnsi="Arial" w:cs="Arial"/>
                <w:color w:val="000000"/>
                <w:sz w:val="16"/>
                <w:szCs w:val="16"/>
              </w:rPr>
            </w:pPr>
            <w:r>
              <w:rPr>
                <w:rFonts w:ascii="Arial" w:hAnsi="Arial" w:cs="Arial"/>
                <w:color w:val="000000"/>
                <w:sz w:val="16"/>
                <w:szCs w:val="16"/>
              </w:rPr>
              <w:t>Séquence de remboursement</w:t>
            </w:r>
          </w:p>
        </w:tc>
        <w:tc>
          <w:tcPr>
            <w:tcW w:w="960" w:type="dxa"/>
            <w:tcBorders>
              <w:top w:val="nil"/>
              <w:left w:val="nil"/>
              <w:bottom w:val="nil"/>
              <w:right w:val="nil"/>
            </w:tcBorders>
            <w:shd w:val="clear" w:color="000000" w:fill="F2F2F2"/>
            <w:noWrap/>
            <w:vAlign w:val="center"/>
            <w:hideMark/>
          </w:tcPr>
          <w:p w14:paraId="0C8E3408" w14:textId="77777777" w:rsidR="00FB0548" w:rsidRDefault="00FB0548" w:rsidP="007D6452">
            <w:pPr>
              <w:keepNext/>
              <w:jc w:val="right"/>
              <w:rPr>
                <w:rFonts w:ascii="Arial" w:hAnsi="Arial" w:cs="Arial"/>
                <w:color w:val="000000"/>
                <w:sz w:val="16"/>
                <w:szCs w:val="16"/>
              </w:rPr>
            </w:pPr>
            <w:r>
              <w:rPr>
                <w:rFonts w:ascii="Arial" w:hAnsi="Arial" w:cs="Arial"/>
                <w:color w:val="000000"/>
                <w:sz w:val="16"/>
                <w:szCs w:val="16"/>
              </w:rPr>
              <w:t>1,0 %</w:t>
            </w:r>
          </w:p>
        </w:tc>
        <w:tc>
          <w:tcPr>
            <w:tcW w:w="960" w:type="dxa"/>
            <w:tcBorders>
              <w:top w:val="nil"/>
              <w:left w:val="nil"/>
              <w:bottom w:val="nil"/>
              <w:right w:val="nil"/>
            </w:tcBorders>
            <w:shd w:val="clear" w:color="000000" w:fill="F2F2F2"/>
            <w:noWrap/>
            <w:vAlign w:val="center"/>
            <w:hideMark/>
          </w:tcPr>
          <w:p w14:paraId="466ED000" w14:textId="77777777" w:rsidR="00FB0548" w:rsidRDefault="00FB0548" w:rsidP="007D6452">
            <w:pPr>
              <w:keepNext/>
              <w:jc w:val="right"/>
              <w:rPr>
                <w:rFonts w:ascii="Arial" w:hAnsi="Arial" w:cs="Arial"/>
                <w:color w:val="000000"/>
                <w:sz w:val="16"/>
                <w:szCs w:val="16"/>
              </w:rPr>
            </w:pPr>
            <w:r>
              <w:rPr>
                <w:rFonts w:ascii="Arial" w:hAnsi="Arial" w:cs="Arial"/>
                <w:color w:val="000000"/>
                <w:sz w:val="16"/>
                <w:szCs w:val="16"/>
              </w:rPr>
              <w:t>1,0 %</w:t>
            </w:r>
          </w:p>
        </w:tc>
        <w:tc>
          <w:tcPr>
            <w:tcW w:w="960" w:type="dxa"/>
            <w:tcBorders>
              <w:top w:val="nil"/>
              <w:left w:val="nil"/>
              <w:bottom w:val="nil"/>
              <w:right w:val="nil"/>
            </w:tcBorders>
            <w:shd w:val="clear" w:color="000000" w:fill="F2F2F2"/>
            <w:noWrap/>
            <w:vAlign w:val="center"/>
            <w:hideMark/>
          </w:tcPr>
          <w:p w14:paraId="242E7993" w14:textId="77777777" w:rsidR="00FB0548" w:rsidRDefault="00FB0548" w:rsidP="007D6452">
            <w:pPr>
              <w:keepNext/>
              <w:jc w:val="right"/>
              <w:rPr>
                <w:rFonts w:ascii="Arial" w:hAnsi="Arial" w:cs="Arial"/>
                <w:color w:val="000000"/>
                <w:sz w:val="16"/>
                <w:szCs w:val="16"/>
              </w:rPr>
            </w:pPr>
            <w:r>
              <w:rPr>
                <w:rFonts w:ascii="Arial" w:hAnsi="Arial" w:cs="Arial"/>
                <w:color w:val="000000"/>
                <w:sz w:val="16"/>
                <w:szCs w:val="16"/>
              </w:rPr>
              <w:t>5,0 %</w:t>
            </w:r>
          </w:p>
        </w:tc>
        <w:tc>
          <w:tcPr>
            <w:tcW w:w="960" w:type="dxa"/>
            <w:tcBorders>
              <w:top w:val="nil"/>
              <w:left w:val="nil"/>
              <w:bottom w:val="nil"/>
              <w:right w:val="nil"/>
            </w:tcBorders>
            <w:shd w:val="clear" w:color="000000" w:fill="F2F2F2"/>
            <w:noWrap/>
            <w:vAlign w:val="center"/>
            <w:hideMark/>
          </w:tcPr>
          <w:p w14:paraId="25FAD39F" w14:textId="77777777" w:rsidR="00FB0548" w:rsidRDefault="00FB0548" w:rsidP="007D6452">
            <w:pPr>
              <w:keepNext/>
              <w:jc w:val="right"/>
              <w:rPr>
                <w:rFonts w:ascii="Arial" w:hAnsi="Arial" w:cs="Arial"/>
                <w:color w:val="000000"/>
                <w:sz w:val="16"/>
                <w:szCs w:val="16"/>
              </w:rPr>
            </w:pPr>
            <w:r>
              <w:rPr>
                <w:rFonts w:ascii="Arial" w:hAnsi="Arial" w:cs="Arial"/>
                <w:color w:val="000000"/>
                <w:sz w:val="16"/>
                <w:szCs w:val="16"/>
              </w:rPr>
              <w:t>5,0 %</w:t>
            </w:r>
          </w:p>
        </w:tc>
        <w:tc>
          <w:tcPr>
            <w:tcW w:w="960" w:type="dxa"/>
            <w:tcBorders>
              <w:top w:val="nil"/>
              <w:left w:val="nil"/>
              <w:bottom w:val="nil"/>
              <w:right w:val="nil"/>
            </w:tcBorders>
            <w:shd w:val="clear" w:color="000000" w:fill="F2F2F2"/>
            <w:noWrap/>
            <w:vAlign w:val="center"/>
            <w:hideMark/>
          </w:tcPr>
          <w:p w14:paraId="22953EB9" w14:textId="77777777" w:rsidR="00FB0548" w:rsidRDefault="00FB0548" w:rsidP="007D6452">
            <w:pPr>
              <w:keepNext/>
              <w:jc w:val="right"/>
              <w:rPr>
                <w:rFonts w:ascii="Arial" w:hAnsi="Arial" w:cs="Arial"/>
                <w:color w:val="000000"/>
                <w:sz w:val="16"/>
                <w:szCs w:val="16"/>
              </w:rPr>
            </w:pPr>
            <w:r>
              <w:rPr>
                <w:rFonts w:ascii="Arial" w:hAnsi="Arial" w:cs="Arial"/>
                <w:color w:val="000000"/>
                <w:sz w:val="16"/>
                <w:szCs w:val="16"/>
              </w:rPr>
              <w:t>88,0 %</w:t>
            </w:r>
          </w:p>
        </w:tc>
      </w:tr>
      <w:tr w:rsidR="00FB0548" w14:paraId="72EACC4F" w14:textId="77777777" w:rsidTr="007D6452">
        <w:trPr>
          <w:trHeight w:val="108"/>
        </w:trPr>
        <w:tc>
          <w:tcPr>
            <w:tcW w:w="4700" w:type="dxa"/>
            <w:tcBorders>
              <w:top w:val="nil"/>
              <w:left w:val="nil"/>
              <w:bottom w:val="nil"/>
              <w:right w:val="nil"/>
            </w:tcBorders>
            <w:noWrap/>
            <w:vAlign w:val="center"/>
            <w:hideMark/>
          </w:tcPr>
          <w:p w14:paraId="151EE3B8" w14:textId="77777777" w:rsidR="00FB0548" w:rsidRDefault="00FB0548" w:rsidP="007D6452">
            <w:pPr>
              <w:keepNext/>
              <w:jc w:val="right"/>
              <w:rPr>
                <w:rFonts w:ascii="Arial" w:hAnsi="Arial" w:cs="Arial"/>
                <w:color w:val="000000"/>
                <w:sz w:val="16"/>
                <w:szCs w:val="16"/>
              </w:rPr>
            </w:pPr>
          </w:p>
        </w:tc>
        <w:tc>
          <w:tcPr>
            <w:tcW w:w="960" w:type="dxa"/>
            <w:tcBorders>
              <w:top w:val="nil"/>
              <w:left w:val="nil"/>
              <w:bottom w:val="nil"/>
              <w:right w:val="nil"/>
            </w:tcBorders>
            <w:noWrap/>
            <w:vAlign w:val="center"/>
            <w:hideMark/>
          </w:tcPr>
          <w:p w14:paraId="5D12B766"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3212AEAE"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11C40EE6"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97C3E2F"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1E6A667F" w14:textId="77777777" w:rsidR="00FB0548" w:rsidRDefault="00FB0548" w:rsidP="007D6452">
            <w:pPr>
              <w:keepNext/>
              <w:jc w:val="right"/>
              <w:rPr>
                <w:sz w:val="20"/>
                <w:szCs w:val="20"/>
              </w:rPr>
            </w:pPr>
          </w:p>
        </w:tc>
      </w:tr>
      <w:tr w:rsidR="00FB0548" w14:paraId="4FA5AD6A" w14:textId="77777777" w:rsidTr="007D6452">
        <w:trPr>
          <w:trHeight w:val="200"/>
        </w:trPr>
        <w:tc>
          <w:tcPr>
            <w:tcW w:w="4700" w:type="dxa"/>
            <w:tcBorders>
              <w:top w:val="nil"/>
              <w:left w:val="nil"/>
              <w:bottom w:val="nil"/>
              <w:right w:val="nil"/>
            </w:tcBorders>
            <w:noWrap/>
            <w:vAlign w:val="center"/>
            <w:hideMark/>
          </w:tcPr>
          <w:p w14:paraId="34ACD90D" w14:textId="77777777" w:rsidR="00FB0548" w:rsidRDefault="00FB0548" w:rsidP="007D6452">
            <w:pPr>
              <w:keepNext/>
              <w:rPr>
                <w:rFonts w:ascii="Arial" w:hAnsi="Arial" w:cs="Arial"/>
                <w:sz w:val="16"/>
                <w:szCs w:val="16"/>
              </w:rPr>
            </w:pPr>
            <w:r>
              <w:rPr>
                <w:rFonts w:ascii="Arial" w:hAnsi="Arial" w:cs="Arial"/>
                <w:sz w:val="16"/>
                <w:szCs w:val="16"/>
              </w:rPr>
              <w:t>Variation de trésorerie</w:t>
            </w:r>
          </w:p>
        </w:tc>
        <w:tc>
          <w:tcPr>
            <w:tcW w:w="960" w:type="dxa"/>
            <w:tcBorders>
              <w:top w:val="nil"/>
              <w:left w:val="nil"/>
              <w:bottom w:val="nil"/>
              <w:right w:val="nil"/>
            </w:tcBorders>
            <w:noWrap/>
            <w:vAlign w:val="center"/>
            <w:hideMark/>
          </w:tcPr>
          <w:p w14:paraId="660FA65B" w14:textId="77777777" w:rsidR="00FB0548" w:rsidRDefault="00FB0548" w:rsidP="007D6452">
            <w:pPr>
              <w:keepNext/>
              <w:jc w:val="right"/>
              <w:rPr>
                <w:rFonts w:ascii="Arial" w:hAnsi="Arial" w:cs="Arial"/>
                <w:sz w:val="16"/>
                <w:szCs w:val="16"/>
              </w:rPr>
            </w:pPr>
            <w:r>
              <w:rPr>
                <w:rFonts w:ascii="Arial" w:hAnsi="Arial" w:cs="Arial"/>
                <w:sz w:val="16"/>
                <w:szCs w:val="16"/>
              </w:rPr>
              <w:t xml:space="preserve">4 030 </w:t>
            </w:r>
          </w:p>
        </w:tc>
        <w:tc>
          <w:tcPr>
            <w:tcW w:w="960" w:type="dxa"/>
            <w:tcBorders>
              <w:top w:val="nil"/>
              <w:left w:val="nil"/>
              <w:bottom w:val="nil"/>
              <w:right w:val="nil"/>
            </w:tcBorders>
            <w:noWrap/>
            <w:vAlign w:val="center"/>
            <w:hideMark/>
          </w:tcPr>
          <w:p w14:paraId="016DDAB6" w14:textId="77777777" w:rsidR="00FB0548" w:rsidRDefault="00FB0548" w:rsidP="007D6452">
            <w:pPr>
              <w:keepNext/>
              <w:jc w:val="right"/>
              <w:rPr>
                <w:rFonts w:ascii="Arial" w:hAnsi="Arial" w:cs="Arial"/>
                <w:sz w:val="16"/>
                <w:szCs w:val="16"/>
              </w:rPr>
            </w:pPr>
            <w:r>
              <w:rPr>
                <w:rFonts w:ascii="Arial" w:hAnsi="Arial" w:cs="Arial"/>
                <w:sz w:val="16"/>
                <w:szCs w:val="16"/>
              </w:rPr>
              <w:t xml:space="preserve">2 802 </w:t>
            </w:r>
          </w:p>
        </w:tc>
        <w:tc>
          <w:tcPr>
            <w:tcW w:w="960" w:type="dxa"/>
            <w:tcBorders>
              <w:top w:val="nil"/>
              <w:left w:val="nil"/>
              <w:bottom w:val="nil"/>
              <w:right w:val="nil"/>
            </w:tcBorders>
            <w:noWrap/>
            <w:vAlign w:val="center"/>
            <w:hideMark/>
          </w:tcPr>
          <w:p w14:paraId="6E6C2FF0" w14:textId="77777777" w:rsidR="00FB0548" w:rsidRDefault="00FB0548" w:rsidP="007D6452">
            <w:pPr>
              <w:keepNext/>
              <w:jc w:val="right"/>
              <w:rPr>
                <w:rFonts w:ascii="Arial" w:hAnsi="Arial" w:cs="Arial"/>
                <w:sz w:val="16"/>
                <w:szCs w:val="16"/>
              </w:rPr>
            </w:pPr>
            <w:r>
              <w:rPr>
                <w:rFonts w:ascii="Arial" w:hAnsi="Arial" w:cs="Arial"/>
                <w:sz w:val="16"/>
                <w:szCs w:val="16"/>
              </w:rPr>
              <w:t xml:space="preserve">3 012 </w:t>
            </w:r>
          </w:p>
        </w:tc>
        <w:tc>
          <w:tcPr>
            <w:tcW w:w="960" w:type="dxa"/>
            <w:tcBorders>
              <w:top w:val="nil"/>
              <w:left w:val="nil"/>
              <w:bottom w:val="nil"/>
              <w:right w:val="nil"/>
            </w:tcBorders>
            <w:noWrap/>
            <w:vAlign w:val="center"/>
            <w:hideMark/>
          </w:tcPr>
          <w:p w14:paraId="4777F064" w14:textId="77777777" w:rsidR="00FB0548" w:rsidRDefault="00FB0548" w:rsidP="007D6452">
            <w:pPr>
              <w:keepNext/>
              <w:jc w:val="right"/>
              <w:rPr>
                <w:rFonts w:ascii="Arial" w:hAnsi="Arial" w:cs="Arial"/>
                <w:sz w:val="16"/>
                <w:szCs w:val="16"/>
              </w:rPr>
            </w:pPr>
            <w:r>
              <w:rPr>
                <w:rFonts w:ascii="Arial" w:hAnsi="Arial" w:cs="Arial"/>
                <w:sz w:val="16"/>
                <w:szCs w:val="16"/>
              </w:rPr>
              <w:t xml:space="preserve">3 190 </w:t>
            </w:r>
          </w:p>
        </w:tc>
        <w:tc>
          <w:tcPr>
            <w:tcW w:w="960" w:type="dxa"/>
            <w:tcBorders>
              <w:top w:val="nil"/>
              <w:left w:val="nil"/>
              <w:bottom w:val="nil"/>
              <w:right w:val="nil"/>
            </w:tcBorders>
            <w:noWrap/>
            <w:vAlign w:val="center"/>
            <w:hideMark/>
          </w:tcPr>
          <w:p w14:paraId="5F4E086A" w14:textId="77777777" w:rsidR="00FB0548" w:rsidRDefault="00FB0548" w:rsidP="007D6452">
            <w:pPr>
              <w:keepNext/>
              <w:jc w:val="right"/>
              <w:rPr>
                <w:rFonts w:ascii="Arial" w:hAnsi="Arial" w:cs="Arial"/>
                <w:sz w:val="16"/>
                <w:szCs w:val="16"/>
              </w:rPr>
            </w:pPr>
            <w:r>
              <w:rPr>
                <w:rFonts w:ascii="Arial" w:hAnsi="Arial" w:cs="Arial"/>
                <w:sz w:val="16"/>
                <w:szCs w:val="16"/>
              </w:rPr>
              <w:t xml:space="preserve">3 369 </w:t>
            </w:r>
          </w:p>
        </w:tc>
      </w:tr>
      <w:tr w:rsidR="00FB0548" w14:paraId="6829BB45" w14:textId="77777777" w:rsidTr="007D6452">
        <w:trPr>
          <w:trHeight w:val="200"/>
        </w:trPr>
        <w:tc>
          <w:tcPr>
            <w:tcW w:w="4700" w:type="dxa"/>
            <w:tcBorders>
              <w:top w:val="nil"/>
              <w:left w:val="nil"/>
              <w:bottom w:val="nil"/>
              <w:right w:val="nil"/>
            </w:tcBorders>
            <w:noWrap/>
            <w:vAlign w:val="center"/>
            <w:hideMark/>
          </w:tcPr>
          <w:p w14:paraId="21FA8C5C" w14:textId="77777777" w:rsidR="00FB0548" w:rsidRDefault="00FB0548" w:rsidP="007D6452">
            <w:pPr>
              <w:keepNext/>
              <w:rPr>
                <w:rFonts w:ascii="Arial" w:hAnsi="Arial" w:cs="Arial"/>
                <w:sz w:val="16"/>
                <w:szCs w:val="16"/>
              </w:rPr>
            </w:pPr>
            <w:r>
              <w:rPr>
                <w:rFonts w:ascii="Arial" w:hAnsi="Arial" w:cs="Arial"/>
                <w:sz w:val="16"/>
                <w:szCs w:val="16"/>
              </w:rPr>
              <w:t>Produit de cession</w:t>
            </w:r>
          </w:p>
        </w:tc>
        <w:tc>
          <w:tcPr>
            <w:tcW w:w="960" w:type="dxa"/>
            <w:tcBorders>
              <w:top w:val="nil"/>
              <w:left w:val="nil"/>
              <w:bottom w:val="nil"/>
              <w:right w:val="nil"/>
            </w:tcBorders>
            <w:noWrap/>
            <w:vAlign w:val="center"/>
            <w:hideMark/>
          </w:tcPr>
          <w:p w14:paraId="23E75886"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7D3BE1DF"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7D551601"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43A171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039437B5" w14:textId="77777777" w:rsidR="00FB0548" w:rsidRDefault="00FB0548" w:rsidP="007D6452">
            <w:pPr>
              <w:keepNext/>
              <w:jc w:val="right"/>
              <w:rPr>
                <w:rFonts w:ascii="Arial" w:hAnsi="Arial" w:cs="Arial"/>
                <w:sz w:val="16"/>
                <w:szCs w:val="16"/>
              </w:rPr>
            </w:pPr>
            <w:r>
              <w:rPr>
                <w:rFonts w:ascii="Arial" w:hAnsi="Arial" w:cs="Arial"/>
                <w:sz w:val="16"/>
                <w:szCs w:val="16"/>
              </w:rPr>
              <w:t xml:space="preserve">71 860 </w:t>
            </w:r>
          </w:p>
        </w:tc>
      </w:tr>
      <w:tr w:rsidR="00FB0548" w14:paraId="2E0467B4" w14:textId="77777777" w:rsidTr="007D6452">
        <w:trPr>
          <w:trHeight w:val="200"/>
        </w:trPr>
        <w:tc>
          <w:tcPr>
            <w:tcW w:w="4700" w:type="dxa"/>
            <w:tcBorders>
              <w:top w:val="nil"/>
              <w:left w:val="nil"/>
              <w:bottom w:val="nil"/>
              <w:right w:val="nil"/>
            </w:tcBorders>
            <w:noWrap/>
            <w:vAlign w:val="center"/>
            <w:hideMark/>
          </w:tcPr>
          <w:p w14:paraId="24023FD4" w14:textId="77777777" w:rsidR="00FB0548" w:rsidRDefault="00FB0548" w:rsidP="007D6452">
            <w:pPr>
              <w:keepNext/>
              <w:rPr>
                <w:rFonts w:ascii="Arial" w:hAnsi="Arial" w:cs="Arial"/>
                <w:sz w:val="16"/>
                <w:szCs w:val="16"/>
              </w:rPr>
            </w:pPr>
            <w:r>
              <w:rPr>
                <w:rFonts w:ascii="Arial" w:hAnsi="Arial" w:cs="Arial"/>
                <w:sz w:val="16"/>
                <w:szCs w:val="16"/>
              </w:rPr>
              <w:t>Refinancement</w:t>
            </w:r>
          </w:p>
        </w:tc>
        <w:tc>
          <w:tcPr>
            <w:tcW w:w="960" w:type="dxa"/>
            <w:tcBorders>
              <w:top w:val="nil"/>
              <w:left w:val="nil"/>
              <w:bottom w:val="nil"/>
              <w:right w:val="nil"/>
            </w:tcBorders>
            <w:noWrap/>
            <w:vAlign w:val="center"/>
            <w:hideMark/>
          </w:tcPr>
          <w:p w14:paraId="055761DD"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04521775"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5C5A9182"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98D164D"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549D34EE" w14:textId="77777777" w:rsidR="00FB0548" w:rsidRDefault="00FB0548" w:rsidP="007D6452">
            <w:pPr>
              <w:keepNext/>
              <w:jc w:val="right"/>
              <w:rPr>
                <w:rFonts w:ascii="Arial" w:hAnsi="Arial" w:cs="Arial"/>
                <w:sz w:val="16"/>
                <w:szCs w:val="16"/>
              </w:rPr>
            </w:pPr>
            <w:r>
              <w:rPr>
                <w:rFonts w:ascii="Arial" w:hAnsi="Arial" w:cs="Arial"/>
                <w:sz w:val="16"/>
                <w:szCs w:val="16"/>
              </w:rPr>
              <w:t xml:space="preserve">7 496 </w:t>
            </w:r>
          </w:p>
        </w:tc>
      </w:tr>
      <w:tr w:rsidR="00FB0548" w14:paraId="261FEEB5" w14:textId="77777777" w:rsidTr="007D6452">
        <w:trPr>
          <w:trHeight w:val="210"/>
        </w:trPr>
        <w:tc>
          <w:tcPr>
            <w:tcW w:w="4700" w:type="dxa"/>
            <w:tcBorders>
              <w:top w:val="nil"/>
              <w:left w:val="nil"/>
              <w:bottom w:val="nil"/>
              <w:right w:val="nil"/>
            </w:tcBorders>
            <w:noWrap/>
            <w:vAlign w:val="center"/>
            <w:hideMark/>
          </w:tcPr>
          <w:p w14:paraId="7A0B24AD" w14:textId="77777777" w:rsidR="00FB0548" w:rsidRDefault="00FB0548" w:rsidP="007D6452">
            <w:pPr>
              <w:keepNext/>
              <w:rPr>
                <w:rFonts w:ascii="Arial" w:hAnsi="Arial" w:cs="Arial"/>
                <w:sz w:val="16"/>
                <w:szCs w:val="16"/>
              </w:rPr>
            </w:pPr>
            <w:r>
              <w:rPr>
                <w:rFonts w:ascii="Arial" w:hAnsi="Arial" w:cs="Arial"/>
                <w:sz w:val="16"/>
                <w:szCs w:val="16"/>
              </w:rPr>
              <w:t>Neutralisation des div. liés aux créances pénales et &lt; 500€</w:t>
            </w:r>
          </w:p>
        </w:tc>
        <w:tc>
          <w:tcPr>
            <w:tcW w:w="960" w:type="dxa"/>
            <w:tcBorders>
              <w:top w:val="nil"/>
              <w:left w:val="nil"/>
              <w:bottom w:val="nil"/>
              <w:right w:val="nil"/>
            </w:tcBorders>
            <w:noWrap/>
            <w:vAlign w:val="center"/>
            <w:hideMark/>
          </w:tcPr>
          <w:p w14:paraId="188AFB35" w14:textId="77777777" w:rsidR="00FB0548" w:rsidRDefault="00FB0548" w:rsidP="007D6452">
            <w:pPr>
              <w:keepNext/>
              <w:jc w:val="right"/>
              <w:rPr>
                <w:rFonts w:ascii="Arial" w:hAnsi="Arial" w:cs="Arial"/>
                <w:sz w:val="16"/>
                <w:szCs w:val="16"/>
              </w:rPr>
            </w:pPr>
            <w:r>
              <w:rPr>
                <w:rFonts w:ascii="Arial" w:hAnsi="Arial" w:cs="Arial"/>
                <w:sz w:val="16"/>
                <w:szCs w:val="16"/>
              </w:rPr>
              <w:t xml:space="preserve">1 </w:t>
            </w:r>
          </w:p>
        </w:tc>
        <w:tc>
          <w:tcPr>
            <w:tcW w:w="960" w:type="dxa"/>
            <w:tcBorders>
              <w:top w:val="nil"/>
              <w:left w:val="nil"/>
              <w:bottom w:val="nil"/>
              <w:right w:val="nil"/>
            </w:tcBorders>
            <w:noWrap/>
            <w:vAlign w:val="center"/>
            <w:hideMark/>
          </w:tcPr>
          <w:p w14:paraId="26D3EB8F" w14:textId="77777777" w:rsidR="00FB0548" w:rsidRDefault="00FB0548" w:rsidP="007D6452">
            <w:pPr>
              <w:keepNext/>
              <w:jc w:val="right"/>
              <w:rPr>
                <w:rFonts w:ascii="Arial" w:hAnsi="Arial" w:cs="Arial"/>
                <w:sz w:val="16"/>
                <w:szCs w:val="16"/>
              </w:rPr>
            </w:pPr>
            <w:r>
              <w:rPr>
                <w:rFonts w:ascii="Arial" w:hAnsi="Arial" w:cs="Arial"/>
                <w:sz w:val="16"/>
                <w:szCs w:val="16"/>
              </w:rPr>
              <w:t xml:space="preserve">1 </w:t>
            </w:r>
          </w:p>
        </w:tc>
        <w:tc>
          <w:tcPr>
            <w:tcW w:w="960" w:type="dxa"/>
            <w:tcBorders>
              <w:top w:val="nil"/>
              <w:left w:val="nil"/>
              <w:bottom w:val="nil"/>
              <w:right w:val="nil"/>
            </w:tcBorders>
            <w:noWrap/>
            <w:vAlign w:val="center"/>
            <w:hideMark/>
          </w:tcPr>
          <w:p w14:paraId="2B00957B" w14:textId="77777777" w:rsidR="00FB0548" w:rsidRDefault="00FB0548" w:rsidP="007D6452">
            <w:pPr>
              <w:keepNext/>
              <w:jc w:val="right"/>
              <w:rPr>
                <w:rFonts w:ascii="Arial" w:hAnsi="Arial" w:cs="Arial"/>
                <w:sz w:val="16"/>
                <w:szCs w:val="16"/>
              </w:rPr>
            </w:pPr>
            <w:r>
              <w:rPr>
                <w:rFonts w:ascii="Arial" w:hAnsi="Arial" w:cs="Arial"/>
                <w:sz w:val="16"/>
                <w:szCs w:val="16"/>
              </w:rPr>
              <w:t xml:space="preserve">3 </w:t>
            </w:r>
          </w:p>
        </w:tc>
        <w:tc>
          <w:tcPr>
            <w:tcW w:w="960" w:type="dxa"/>
            <w:tcBorders>
              <w:top w:val="nil"/>
              <w:left w:val="nil"/>
              <w:bottom w:val="nil"/>
              <w:right w:val="nil"/>
            </w:tcBorders>
            <w:noWrap/>
            <w:vAlign w:val="center"/>
            <w:hideMark/>
          </w:tcPr>
          <w:p w14:paraId="507362EE" w14:textId="77777777" w:rsidR="00FB0548" w:rsidRDefault="00FB0548" w:rsidP="007D6452">
            <w:pPr>
              <w:keepNext/>
              <w:jc w:val="right"/>
              <w:rPr>
                <w:rFonts w:ascii="Arial" w:hAnsi="Arial" w:cs="Arial"/>
                <w:sz w:val="16"/>
                <w:szCs w:val="16"/>
              </w:rPr>
            </w:pPr>
            <w:r>
              <w:rPr>
                <w:rFonts w:ascii="Arial" w:hAnsi="Arial" w:cs="Arial"/>
                <w:sz w:val="16"/>
                <w:szCs w:val="16"/>
              </w:rPr>
              <w:t xml:space="preserve">3 </w:t>
            </w:r>
          </w:p>
        </w:tc>
        <w:tc>
          <w:tcPr>
            <w:tcW w:w="960" w:type="dxa"/>
            <w:tcBorders>
              <w:top w:val="nil"/>
              <w:left w:val="nil"/>
              <w:bottom w:val="nil"/>
              <w:right w:val="nil"/>
            </w:tcBorders>
            <w:noWrap/>
            <w:vAlign w:val="center"/>
            <w:hideMark/>
          </w:tcPr>
          <w:p w14:paraId="75A716BB" w14:textId="77777777" w:rsidR="00FB0548" w:rsidRDefault="00FB0548" w:rsidP="007D6452">
            <w:pPr>
              <w:keepNext/>
              <w:jc w:val="right"/>
              <w:rPr>
                <w:rFonts w:ascii="Arial" w:hAnsi="Arial" w:cs="Arial"/>
                <w:sz w:val="16"/>
                <w:szCs w:val="16"/>
              </w:rPr>
            </w:pPr>
            <w:r>
              <w:rPr>
                <w:rFonts w:ascii="Arial" w:hAnsi="Arial" w:cs="Arial"/>
                <w:sz w:val="16"/>
                <w:szCs w:val="16"/>
              </w:rPr>
              <w:t xml:space="preserve">46 </w:t>
            </w:r>
          </w:p>
        </w:tc>
      </w:tr>
      <w:tr w:rsidR="00FB0548" w14:paraId="2B3531A1" w14:textId="77777777" w:rsidTr="007D6452">
        <w:trPr>
          <w:trHeight w:val="200"/>
        </w:trPr>
        <w:tc>
          <w:tcPr>
            <w:tcW w:w="4700" w:type="dxa"/>
            <w:tcBorders>
              <w:top w:val="nil"/>
              <w:left w:val="nil"/>
              <w:bottom w:val="nil"/>
              <w:right w:val="nil"/>
            </w:tcBorders>
            <w:noWrap/>
            <w:vAlign w:val="center"/>
            <w:hideMark/>
          </w:tcPr>
          <w:p w14:paraId="32156973" w14:textId="77777777" w:rsidR="00FB0548" w:rsidRDefault="00FB0548" w:rsidP="007D6452">
            <w:pPr>
              <w:keepNext/>
              <w:rPr>
                <w:rFonts w:ascii="Arial" w:hAnsi="Arial" w:cs="Arial"/>
                <w:sz w:val="16"/>
                <w:szCs w:val="16"/>
              </w:rPr>
            </w:pPr>
            <w:r>
              <w:rPr>
                <w:rFonts w:ascii="Arial" w:hAnsi="Arial" w:cs="Arial"/>
                <w:sz w:val="16"/>
                <w:szCs w:val="16"/>
              </w:rPr>
              <w:t>Paiement des créances pénales et créances &lt; 500€</w:t>
            </w:r>
          </w:p>
        </w:tc>
        <w:tc>
          <w:tcPr>
            <w:tcW w:w="960" w:type="dxa"/>
            <w:tcBorders>
              <w:top w:val="nil"/>
              <w:left w:val="nil"/>
              <w:bottom w:val="nil"/>
              <w:right w:val="nil"/>
            </w:tcBorders>
            <w:noWrap/>
            <w:vAlign w:val="center"/>
            <w:hideMark/>
          </w:tcPr>
          <w:p w14:paraId="7A7B367E" w14:textId="77777777" w:rsidR="00FB0548" w:rsidRDefault="00FB0548" w:rsidP="007D6452">
            <w:pPr>
              <w:keepNext/>
              <w:jc w:val="right"/>
              <w:rPr>
                <w:rFonts w:ascii="Arial" w:hAnsi="Arial" w:cs="Arial"/>
                <w:sz w:val="16"/>
                <w:szCs w:val="16"/>
              </w:rPr>
            </w:pPr>
            <w:r>
              <w:rPr>
                <w:rFonts w:ascii="Arial" w:hAnsi="Arial" w:cs="Arial"/>
                <w:sz w:val="16"/>
                <w:szCs w:val="16"/>
              </w:rPr>
              <w:t>(52)</w:t>
            </w:r>
          </w:p>
        </w:tc>
        <w:tc>
          <w:tcPr>
            <w:tcW w:w="960" w:type="dxa"/>
            <w:tcBorders>
              <w:top w:val="nil"/>
              <w:left w:val="nil"/>
              <w:bottom w:val="nil"/>
              <w:right w:val="nil"/>
            </w:tcBorders>
            <w:noWrap/>
            <w:vAlign w:val="center"/>
            <w:hideMark/>
          </w:tcPr>
          <w:p w14:paraId="63E6782E"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B9D7905"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03387569"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27FCE04A"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r>
      <w:tr w:rsidR="00FB0548" w14:paraId="307869F4" w14:textId="77777777" w:rsidTr="007D6452">
        <w:trPr>
          <w:trHeight w:val="200"/>
        </w:trPr>
        <w:tc>
          <w:tcPr>
            <w:tcW w:w="4700" w:type="dxa"/>
            <w:tcBorders>
              <w:top w:val="nil"/>
              <w:left w:val="nil"/>
              <w:bottom w:val="nil"/>
              <w:right w:val="nil"/>
            </w:tcBorders>
            <w:noWrap/>
            <w:vAlign w:val="center"/>
            <w:hideMark/>
          </w:tcPr>
          <w:p w14:paraId="32BDC78E" w14:textId="77777777" w:rsidR="00FB0548" w:rsidRDefault="00FB0548" w:rsidP="007D6452">
            <w:pPr>
              <w:keepNext/>
              <w:rPr>
                <w:rFonts w:ascii="Arial" w:hAnsi="Arial" w:cs="Arial"/>
                <w:sz w:val="16"/>
                <w:szCs w:val="16"/>
              </w:rPr>
            </w:pPr>
            <w:r>
              <w:rPr>
                <w:rFonts w:ascii="Arial" w:hAnsi="Arial" w:cs="Arial"/>
                <w:sz w:val="16"/>
                <w:szCs w:val="16"/>
              </w:rPr>
              <w:t xml:space="preserve">Neutral. </w:t>
            </w:r>
            <w:proofErr w:type="gramStart"/>
            <w:r>
              <w:rPr>
                <w:rFonts w:ascii="Arial" w:hAnsi="Arial" w:cs="Arial"/>
                <w:sz w:val="16"/>
                <w:szCs w:val="16"/>
              </w:rPr>
              <w:t>des</w:t>
            </w:r>
            <w:proofErr w:type="gramEnd"/>
            <w:r>
              <w:rPr>
                <w:rFonts w:ascii="Arial" w:hAnsi="Arial" w:cs="Arial"/>
                <w:sz w:val="16"/>
                <w:szCs w:val="16"/>
              </w:rPr>
              <w:t xml:space="preserve"> div. liés aux c. sociaux/fiscaux/bailleurs garantis</w:t>
            </w:r>
          </w:p>
        </w:tc>
        <w:tc>
          <w:tcPr>
            <w:tcW w:w="960" w:type="dxa"/>
            <w:tcBorders>
              <w:top w:val="nil"/>
              <w:left w:val="nil"/>
              <w:bottom w:val="nil"/>
              <w:right w:val="nil"/>
            </w:tcBorders>
            <w:noWrap/>
            <w:vAlign w:val="center"/>
            <w:hideMark/>
          </w:tcPr>
          <w:p w14:paraId="359D52CD" w14:textId="77777777" w:rsidR="00FB0548" w:rsidRDefault="00FB0548" w:rsidP="007D6452">
            <w:pPr>
              <w:keepNext/>
              <w:jc w:val="right"/>
              <w:rPr>
                <w:rFonts w:ascii="Arial" w:hAnsi="Arial" w:cs="Arial"/>
                <w:sz w:val="16"/>
                <w:szCs w:val="16"/>
              </w:rPr>
            </w:pPr>
            <w:r>
              <w:rPr>
                <w:rFonts w:ascii="Arial" w:hAnsi="Arial" w:cs="Arial"/>
                <w:sz w:val="16"/>
                <w:szCs w:val="16"/>
              </w:rPr>
              <w:t xml:space="preserve">4 </w:t>
            </w:r>
          </w:p>
        </w:tc>
        <w:tc>
          <w:tcPr>
            <w:tcW w:w="960" w:type="dxa"/>
            <w:tcBorders>
              <w:top w:val="nil"/>
              <w:left w:val="nil"/>
              <w:bottom w:val="nil"/>
              <w:right w:val="nil"/>
            </w:tcBorders>
            <w:noWrap/>
            <w:vAlign w:val="center"/>
            <w:hideMark/>
          </w:tcPr>
          <w:p w14:paraId="6F7E4F7F" w14:textId="77777777" w:rsidR="00FB0548" w:rsidRDefault="00FB0548" w:rsidP="007D6452">
            <w:pPr>
              <w:keepNext/>
              <w:jc w:val="right"/>
              <w:rPr>
                <w:rFonts w:ascii="Arial" w:hAnsi="Arial" w:cs="Arial"/>
                <w:sz w:val="16"/>
                <w:szCs w:val="16"/>
              </w:rPr>
            </w:pPr>
            <w:r>
              <w:rPr>
                <w:rFonts w:ascii="Arial" w:hAnsi="Arial" w:cs="Arial"/>
                <w:sz w:val="16"/>
                <w:szCs w:val="16"/>
              </w:rPr>
              <w:t xml:space="preserve">4 </w:t>
            </w:r>
          </w:p>
        </w:tc>
        <w:tc>
          <w:tcPr>
            <w:tcW w:w="960" w:type="dxa"/>
            <w:tcBorders>
              <w:top w:val="nil"/>
              <w:left w:val="nil"/>
              <w:bottom w:val="nil"/>
              <w:right w:val="nil"/>
            </w:tcBorders>
            <w:noWrap/>
            <w:vAlign w:val="center"/>
            <w:hideMark/>
          </w:tcPr>
          <w:p w14:paraId="5BBCB0D9" w14:textId="77777777" w:rsidR="00FB0548" w:rsidRDefault="00FB0548" w:rsidP="007D6452">
            <w:pPr>
              <w:keepNext/>
              <w:jc w:val="right"/>
              <w:rPr>
                <w:rFonts w:ascii="Arial" w:hAnsi="Arial" w:cs="Arial"/>
                <w:sz w:val="16"/>
                <w:szCs w:val="16"/>
              </w:rPr>
            </w:pPr>
            <w:r>
              <w:rPr>
                <w:rFonts w:ascii="Arial" w:hAnsi="Arial" w:cs="Arial"/>
                <w:sz w:val="16"/>
                <w:szCs w:val="16"/>
              </w:rPr>
              <w:t xml:space="preserve">19 </w:t>
            </w:r>
          </w:p>
        </w:tc>
        <w:tc>
          <w:tcPr>
            <w:tcW w:w="960" w:type="dxa"/>
            <w:tcBorders>
              <w:top w:val="nil"/>
              <w:left w:val="nil"/>
              <w:bottom w:val="nil"/>
              <w:right w:val="nil"/>
            </w:tcBorders>
            <w:noWrap/>
            <w:vAlign w:val="center"/>
            <w:hideMark/>
          </w:tcPr>
          <w:p w14:paraId="70D95C75" w14:textId="77777777" w:rsidR="00FB0548" w:rsidRDefault="00FB0548" w:rsidP="007D6452">
            <w:pPr>
              <w:keepNext/>
              <w:jc w:val="right"/>
              <w:rPr>
                <w:rFonts w:ascii="Arial" w:hAnsi="Arial" w:cs="Arial"/>
                <w:sz w:val="16"/>
                <w:szCs w:val="16"/>
              </w:rPr>
            </w:pPr>
            <w:r>
              <w:rPr>
                <w:rFonts w:ascii="Arial" w:hAnsi="Arial" w:cs="Arial"/>
                <w:sz w:val="16"/>
                <w:szCs w:val="16"/>
              </w:rPr>
              <w:t xml:space="preserve">19 </w:t>
            </w:r>
          </w:p>
        </w:tc>
        <w:tc>
          <w:tcPr>
            <w:tcW w:w="960" w:type="dxa"/>
            <w:tcBorders>
              <w:top w:val="nil"/>
              <w:left w:val="nil"/>
              <w:bottom w:val="nil"/>
              <w:right w:val="nil"/>
            </w:tcBorders>
            <w:noWrap/>
            <w:vAlign w:val="center"/>
            <w:hideMark/>
          </w:tcPr>
          <w:p w14:paraId="5DBCD65C" w14:textId="77777777" w:rsidR="00FB0548" w:rsidRDefault="00FB0548" w:rsidP="007D6452">
            <w:pPr>
              <w:keepNext/>
              <w:jc w:val="right"/>
              <w:rPr>
                <w:rFonts w:ascii="Arial" w:hAnsi="Arial" w:cs="Arial"/>
                <w:sz w:val="16"/>
                <w:szCs w:val="16"/>
              </w:rPr>
            </w:pPr>
            <w:r>
              <w:rPr>
                <w:rFonts w:ascii="Arial" w:hAnsi="Arial" w:cs="Arial"/>
                <w:sz w:val="16"/>
                <w:szCs w:val="16"/>
              </w:rPr>
              <w:t xml:space="preserve">329 </w:t>
            </w:r>
          </w:p>
        </w:tc>
      </w:tr>
      <w:tr w:rsidR="00FB0548" w14:paraId="596E2FFB" w14:textId="77777777" w:rsidTr="007D6452">
        <w:trPr>
          <w:trHeight w:val="200"/>
        </w:trPr>
        <w:tc>
          <w:tcPr>
            <w:tcW w:w="4700" w:type="dxa"/>
            <w:tcBorders>
              <w:top w:val="nil"/>
              <w:left w:val="nil"/>
              <w:bottom w:val="nil"/>
              <w:right w:val="nil"/>
            </w:tcBorders>
            <w:noWrap/>
            <w:vAlign w:val="center"/>
            <w:hideMark/>
          </w:tcPr>
          <w:p w14:paraId="16858A03" w14:textId="77777777" w:rsidR="00FB0548" w:rsidRDefault="00FB0548" w:rsidP="007D6452">
            <w:pPr>
              <w:keepNext/>
              <w:rPr>
                <w:rFonts w:ascii="Arial" w:hAnsi="Arial" w:cs="Arial"/>
                <w:sz w:val="16"/>
                <w:szCs w:val="16"/>
              </w:rPr>
            </w:pPr>
            <w:r>
              <w:rPr>
                <w:rFonts w:ascii="Arial" w:hAnsi="Arial" w:cs="Arial"/>
                <w:sz w:val="16"/>
                <w:szCs w:val="16"/>
              </w:rPr>
              <w:t>Paiement des créanciers sociaux, fiscaux et bailleurs garantis</w:t>
            </w:r>
          </w:p>
        </w:tc>
        <w:tc>
          <w:tcPr>
            <w:tcW w:w="960" w:type="dxa"/>
            <w:tcBorders>
              <w:top w:val="nil"/>
              <w:left w:val="nil"/>
              <w:bottom w:val="nil"/>
              <w:right w:val="nil"/>
            </w:tcBorders>
            <w:noWrap/>
            <w:vAlign w:val="center"/>
            <w:hideMark/>
          </w:tcPr>
          <w:p w14:paraId="1C0C5CCC" w14:textId="77777777" w:rsidR="00FB0548" w:rsidRDefault="00FB0548" w:rsidP="007D6452">
            <w:pPr>
              <w:keepNext/>
              <w:jc w:val="right"/>
              <w:rPr>
                <w:rFonts w:ascii="Arial" w:hAnsi="Arial" w:cs="Arial"/>
                <w:sz w:val="16"/>
                <w:szCs w:val="16"/>
              </w:rPr>
            </w:pPr>
            <w:r>
              <w:rPr>
                <w:rFonts w:ascii="Arial" w:hAnsi="Arial" w:cs="Arial"/>
                <w:sz w:val="16"/>
                <w:szCs w:val="16"/>
              </w:rPr>
              <w:t>(187)</w:t>
            </w:r>
          </w:p>
        </w:tc>
        <w:tc>
          <w:tcPr>
            <w:tcW w:w="960" w:type="dxa"/>
            <w:tcBorders>
              <w:top w:val="nil"/>
              <w:left w:val="nil"/>
              <w:bottom w:val="nil"/>
              <w:right w:val="nil"/>
            </w:tcBorders>
            <w:noWrap/>
            <w:vAlign w:val="center"/>
            <w:hideMark/>
          </w:tcPr>
          <w:p w14:paraId="2150D16F" w14:textId="77777777" w:rsidR="00FB0548" w:rsidRDefault="00FB0548" w:rsidP="007D6452">
            <w:pPr>
              <w:keepNext/>
              <w:jc w:val="right"/>
              <w:rPr>
                <w:rFonts w:ascii="Arial" w:hAnsi="Arial" w:cs="Arial"/>
                <w:sz w:val="16"/>
                <w:szCs w:val="16"/>
              </w:rPr>
            </w:pPr>
            <w:r>
              <w:rPr>
                <w:rFonts w:ascii="Arial" w:hAnsi="Arial" w:cs="Arial"/>
                <w:sz w:val="16"/>
                <w:szCs w:val="16"/>
              </w:rPr>
              <w:t>(187)</w:t>
            </w:r>
          </w:p>
        </w:tc>
        <w:tc>
          <w:tcPr>
            <w:tcW w:w="960" w:type="dxa"/>
            <w:tcBorders>
              <w:top w:val="nil"/>
              <w:left w:val="nil"/>
              <w:bottom w:val="nil"/>
              <w:right w:val="nil"/>
            </w:tcBorders>
            <w:noWrap/>
            <w:vAlign w:val="center"/>
            <w:hideMark/>
          </w:tcPr>
          <w:p w14:paraId="347F423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11B852F"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67D109B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r>
      <w:tr w:rsidR="00FB0548" w14:paraId="399D2E9C" w14:textId="77777777" w:rsidTr="007D6452">
        <w:trPr>
          <w:trHeight w:val="200"/>
        </w:trPr>
        <w:tc>
          <w:tcPr>
            <w:tcW w:w="4700" w:type="dxa"/>
            <w:tcBorders>
              <w:top w:val="nil"/>
              <w:left w:val="nil"/>
              <w:bottom w:val="nil"/>
              <w:right w:val="nil"/>
            </w:tcBorders>
            <w:noWrap/>
            <w:vAlign w:val="center"/>
            <w:hideMark/>
          </w:tcPr>
          <w:p w14:paraId="7333981B" w14:textId="77777777" w:rsidR="00FB0548" w:rsidRDefault="00FB0548" w:rsidP="007D6452">
            <w:pPr>
              <w:keepNext/>
              <w:rPr>
                <w:rFonts w:ascii="Arial" w:hAnsi="Arial" w:cs="Arial"/>
                <w:sz w:val="16"/>
                <w:szCs w:val="16"/>
              </w:rPr>
            </w:pPr>
            <w:r>
              <w:rPr>
                <w:rFonts w:ascii="Arial" w:hAnsi="Arial" w:cs="Arial"/>
                <w:sz w:val="16"/>
                <w:szCs w:val="16"/>
              </w:rPr>
              <w:t>Comptes courants avec les entités du groupe HST</w:t>
            </w:r>
          </w:p>
        </w:tc>
        <w:tc>
          <w:tcPr>
            <w:tcW w:w="960" w:type="dxa"/>
            <w:tcBorders>
              <w:top w:val="nil"/>
              <w:left w:val="nil"/>
              <w:bottom w:val="nil"/>
              <w:right w:val="nil"/>
            </w:tcBorders>
            <w:noWrap/>
            <w:vAlign w:val="center"/>
            <w:hideMark/>
          </w:tcPr>
          <w:p w14:paraId="1D5F418A" w14:textId="77777777" w:rsidR="00FB0548" w:rsidRDefault="00FB0548" w:rsidP="007D6452">
            <w:pPr>
              <w:keepNext/>
              <w:jc w:val="right"/>
              <w:rPr>
                <w:rFonts w:ascii="Arial" w:hAnsi="Arial" w:cs="Arial"/>
                <w:sz w:val="16"/>
                <w:szCs w:val="16"/>
              </w:rPr>
            </w:pPr>
            <w:r>
              <w:rPr>
                <w:rFonts w:ascii="Arial" w:hAnsi="Arial" w:cs="Arial"/>
                <w:sz w:val="16"/>
                <w:szCs w:val="16"/>
              </w:rPr>
              <w:t xml:space="preserve">727 </w:t>
            </w:r>
          </w:p>
        </w:tc>
        <w:tc>
          <w:tcPr>
            <w:tcW w:w="960" w:type="dxa"/>
            <w:tcBorders>
              <w:top w:val="nil"/>
              <w:left w:val="nil"/>
              <w:bottom w:val="nil"/>
              <w:right w:val="nil"/>
            </w:tcBorders>
            <w:noWrap/>
            <w:vAlign w:val="center"/>
            <w:hideMark/>
          </w:tcPr>
          <w:p w14:paraId="6A621D2D" w14:textId="77777777" w:rsidR="00FB0548" w:rsidRDefault="00FB0548" w:rsidP="007D6452">
            <w:pPr>
              <w:keepNext/>
              <w:jc w:val="right"/>
              <w:rPr>
                <w:rFonts w:ascii="Arial" w:hAnsi="Arial" w:cs="Arial"/>
                <w:sz w:val="16"/>
                <w:szCs w:val="16"/>
              </w:rPr>
            </w:pPr>
            <w:r>
              <w:rPr>
                <w:rFonts w:ascii="Arial" w:hAnsi="Arial" w:cs="Arial"/>
                <w:sz w:val="16"/>
                <w:szCs w:val="16"/>
              </w:rPr>
              <w:t xml:space="preserve">727 </w:t>
            </w:r>
          </w:p>
        </w:tc>
        <w:tc>
          <w:tcPr>
            <w:tcW w:w="960" w:type="dxa"/>
            <w:tcBorders>
              <w:top w:val="nil"/>
              <w:left w:val="nil"/>
              <w:bottom w:val="nil"/>
              <w:right w:val="nil"/>
            </w:tcBorders>
            <w:noWrap/>
            <w:vAlign w:val="center"/>
            <w:hideMark/>
          </w:tcPr>
          <w:p w14:paraId="51064394" w14:textId="77777777" w:rsidR="00FB0548" w:rsidRDefault="00FB0548" w:rsidP="007D6452">
            <w:pPr>
              <w:keepNext/>
              <w:jc w:val="right"/>
              <w:rPr>
                <w:rFonts w:ascii="Arial" w:hAnsi="Arial" w:cs="Arial"/>
                <w:sz w:val="16"/>
                <w:szCs w:val="16"/>
              </w:rPr>
            </w:pPr>
            <w:r>
              <w:rPr>
                <w:rFonts w:ascii="Arial" w:hAnsi="Arial" w:cs="Arial"/>
                <w:sz w:val="16"/>
                <w:szCs w:val="16"/>
              </w:rPr>
              <w:t xml:space="preserve">727 </w:t>
            </w:r>
          </w:p>
        </w:tc>
        <w:tc>
          <w:tcPr>
            <w:tcW w:w="960" w:type="dxa"/>
            <w:tcBorders>
              <w:top w:val="nil"/>
              <w:left w:val="nil"/>
              <w:bottom w:val="nil"/>
              <w:right w:val="nil"/>
            </w:tcBorders>
            <w:noWrap/>
            <w:vAlign w:val="center"/>
            <w:hideMark/>
          </w:tcPr>
          <w:p w14:paraId="785B64BF" w14:textId="77777777" w:rsidR="00FB0548" w:rsidRDefault="00FB0548" w:rsidP="007D6452">
            <w:pPr>
              <w:keepNext/>
              <w:jc w:val="right"/>
              <w:rPr>
                <w:rFonts w:ascii="Arial" w:hAnsi="Arial" w:cs="Arial"/>
                <w:sz w:val="16"/>
                <w:szCs w:val="16"/>
              </w:rPr>
            </w:pPr>
            <w:r>
              <w:rPr>
                <w:rFonts w:ascii="Arial" w:hAnsi="Arial" w:cs="Arial"/>
                <w:sz w:val="16"/>
                <w:szCs w:val="16"/>
              </w:rPr>
              <w:t xml:space="preserve">727 </w:t>
            </w:r>
          </w:p>
        </w:tc>
        <w:tc>
          <w:tcPr>
            <w:tcW w:w="960" w:type="dxa"/>
            <w:tcBorders>
              <w:top w:val="nil"/>
              <w:left w:val="nil"/>
              <w:bottom w:val="nil"/>
              <w:right w:val="nil"/>
            </w:tcBorders>
            <w:noWrap/>
            <w:vAlign w:val="center"/>
            <w:hideMark/>
          </w:tcPr>
          <w:p w14:paraId="6534E760" w14:textId="77777777" w:rsidR="00FB0548" w:rsidRDefault="00FB0548" w:rsidP="007D6452">
            <w:pPr>
              <w:keepNext/>
              <w:jc w:val="right"/>
              <w:rPr>
                <w:rFonts w:ascii="Arial" w:hAnsi="Arial" w:cs="Arial"/>
                <w:sz w:val="16"/>
                <w:szCs w:val="16"/>
              </w:rPr>
            </w:pPr>
            <w:r>
              <w:rPr>
                <w:rFonts w:ascii="Arial" w:hAnsi="Arial" w:cs="Arial"/>
                <w:sz w:val="16"/>
                <w:szCs w:val="16"/>
              </w:rPr>
              <w:t xml:space="preserve">727 </w:t>
            </w:r>
          </w:p>
        </w:tc>
      </w:tr>
      <w:tr w:rsidR="00FB0548" w14:paraId="37380D58" w14:textId="77777777" w:rsidTr="007D6452">
        <w:trPr>
          <w:trHeight w:val="210"/>
        </w:trPr>
        <w:tc>
          <w:tcPr>
            <w:tcW w:w="4700" w:type="dxa"/>
            <w:tcBorders>
              <w:top w:val="nil"/>
              <w:left w:val="nil"/>
              <w:bottom w:val="nil"/>
              <w:right w:val="nil"/>
            </w:tcBorders>
            <w:noWrap/>
            <w:vAlign w:val="center"/>
            <w:hideMark/>
          </w:tcPr>
          <w:p w14:paraId="5E11DD41" w14:textId="77777777" w:rsidR="00FB0548" w:rsidRDefault="00FB0548" w:rsidP="007D6452">
            <w:pPr>
              <w:keepNext/>
              <w:rPr>
                <w:rFonts w:ascii="Arial" w:hAnsi="Arial" w:cs="Arial"/>
                <w:sz w:val="16"/>
                <w:szCs w:val="16"/>
              </w:rPr>
            </w:pPr>
            <w:r>
              <w:rPr>
                <w:rFonts w:ascii="Arial" w:hAnsi="Arial" w:cs="Arial"/>
                <w:sz w:val="16"/>
                <w:szCs w:val="16"/>
              </w:rPr>
              <w:t>Apurement du passif des entités liquidées</w:t>
            </w:r>
          </w:p>
        </w:tc>
        <w:tc>
          <w:tcPr>
            <w:tcW w:w="960" w:type="dxa"/>
            <w:tcBorders>
              <w:top w:val="nil"/>
              <w:left w:val="nil"/>
              <w:bottom w:val="nil"/>
              <w:right w:val="nil"/>
            </w:tcBorders>
            <w:noWrap/>
            <w:vAlign w:val="center"/>
            <w:hideMark/>
          </w:tcPr>
          <w:p w14:paraId="6E61E47F"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3C87CCD4" w14:textId="77777777" w:rsidR="00FB0548" w:rsidRDefault="00FB0548" w:rsidP="007D6452">
            <w:pPr>
              <w:keepNext/>
              <w:jc w:val="right"/>
              <w:rPr>
                <w:rFonts w:ascii="Arial" w:hAnsi="Arial" w:cs="Arial"/>
                <w:sz w:val="16"/>
                <w:szCs w:val="16"/>
              </w:rPr>
            </w:pPr>
            <w:r>
              <w:rPr>
                <w:rFonts w:ascii="Arial" w:hAnsi="Arial" w:cs="Arial"/>
                <w:sz w:val="16"/>
                <w:szCs w:val="16"/>
              </w:rPr>
              <w:t>(20)</w:t>
            </w:r>
          </w:p>
        </w:tc>
        <w:tc>
          <w:tcPr>
            <w:tcW w:w="960" w:type="dxa"/>
            <w:tcBorders>
              <w:top w:val="nil"/>
              <w:left w:val="nil"/>
              <w:bottom w:val="nil"/>
              <w:right w:val="nil"/>
            </w:tcBorders>
            <w:noWrap/>
            <w:vAlign w:val="center"/>
            <w:hideMark/>
          </w:tcPr>
          <w:p w14:paraId="40C9C20C"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72628D1"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2DF8A75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r>
      <w:tr w:rsidR="00FB0548" w14:paraId="2B49DEFD" w14:textId="77777777" w:rsidTr="007D6452">
        <w:trPr>
          <w:trHeight w:val="210"/>
        </w:trPr>
        <w:tc>
          <w:tcPr>
            <w:tcW w:w="4700" w:type="dxa"/>
            <w:tcBorders>
              <w:top w:val="nil"/>
              <w:left w:val="nil"/>
              <w:bottom w:val="nil"/>
              <w:right w:val="nil"/>
            </w:tcBorders>
            <w:noWrap/>
            <w:vAlign w:val="center"/>
            <w:hideMark/>
          </w:tcPr>
          <w:p w14:paraId="7C64BBE9" w14:textId="77777777" w:rsidR="00FB0548" w:rsidRDefault="00FB0548" w:rsidP="007D6452">
            <w:pPr>
              <w:keepNext/>
              <w:rPr>
                <w:rFonts w:ascii="Arial" w:hAnsi="Arial" w:cs="Arial"/>
                <w:sz w:val="16"/>
                <w:szCs w:val="16"/>
              </w:rPr>
            </w:pPr>
            <w:r>
              <w:rPr>
                <w:rFonts w:ascii="Arial" w:hAnsi="Arial" w:cs="Arial"/>
                <w:sz w:val="16"/>
                <w:szCs w:val="16"/>
              </w:rPr>
              <w:t>Trésorerie initiale</w:t>
            </w:r>
          </w:p>
        </w:tc>
        <w:tc>
          <w:tcPr>
            <w:tcW w:w="960" w:type="dxa"/>
            <w:tcBorders>
              <w:top w:val="nil"/>
              <w:left w:val="nil"/>
              <w:bottom w:val="nil"/>
              <w:right w:val="nil"/>
            </w:tcBorders>
            <w:noWrap/>
            <w:vAlign w:val="center"/>
            <w:hideMark/>
          </w:tcPr>
          <w:p w14:paraId="3F89DCC5" w14:textId="77777777" w:rsidR="00FB0548" w:rsidRDefault="00FB0548" w:rsidP="007D6452">
            <w:pPr>
              <w:keepNext/>
              <w:jc w:val="right"/>
              <w:rPr>
                <w:rFonts w:ascii="Arial" w:hAnsi="Arial" w:cs="Arial"/>
                <w:sz w:val="16"/>
                <w:szCs w:val="16"/>
              </w:rPr>
            </w:pPr>
            <w:r>
              <w:rPr>
                <w:rFonts w:ascii="Arial" w:hAnsi="Arial" w:cs="Arial"/>
                <w:sz w:val="16"/>
                <w:szCs w:val="16"/>
              </w:rPr>
              <w:t xml:space="preserve">645 </w:t>
            </w:r>
          </w:p>
        </w:tc>
        <w:tc>
          <w:tcPr>
            <w:tcW w:w="960" w:type="dxa"/>
            <w:tcBorders>
              <w:top w:val="nil"/>
              <w:left w:val="nil"/>
              <w:bottom w:val="nil"/>
              <w:right w:val="nil"/>
            </w:tcBorders>
            <w:shd w:val="clear" w:color="000000" w:fill="auto"/>
            <w:noWrap/>
            <w:vAlign w:val="center"/>
            <w:hideMark/>
          </w:tcPr>
          <w:p w14:paraId="26E7469D" w14:textId="77777777" w:rsidR="00FB0548" w:rsidRDefault="00FB0548" w:rsidP="007D6452">
            <w:pPr>
              <w:keepNext/>
              <w:jc w:val="right"/>
              <w:rPr>
                <w:rFonts w:ascii="Arial" w:hAnsi="Arial" w:cs="Arial"/>
                <w:sz w:val="16"/>
                <w:szCs w:val="16"/>
              </w:rPr>
            </w:pPr>
          </w:p>
        </w:tc>
        <w:tc>
          <w:tcPr>
            <w:tcW w:w="960" w:type="dxa"/>
            <w:tcBorders>
              <w:top w:val="nil"/>
              <w:left w:val="nil"/>
              <w:bottom w:val="nil"/>
              <w:right w:val="nil"/>
            </w:tcBorders>
            <w:shd w:val="clear" w:color="000000" w:fill="auto"/>
            <w:noWrap/>
            <w:vAlign w:val="center"/>
            <w:hideMark/>
          </w:tcPr>
          <w:p w14:paraId="118CAEBC" w14:textId="77777777" w:rsidR="00FB0548" w:rsidRDefault="00FB0548" w:rsidP="007D6452">
            <w:pPr>
              <w:keepNext/>
              <w:jc w:val="right"/>
              <w:rPr>
                <w:sz w:val="20"/>
                <w:szCs w:val="20"/>
              </w:rPr>
            </w:pPr>
          </w:p>
        </w:tc>
        <w:tc>
          <w:tcPr>
            <w:tcW w:w="960" w:type="dxa"/>
            <w:tcBorders>
              <w:top w:val="nil"/>
              <w:left w:val="nil"/>
              <w:bottom w:val="nil"/>
              <w:right w:val="nil"/>
            </w:tcBorders>
            <w:shd w:val="clear" w:color="000000" w:fill="auto"/>
            <w:noWrap/>
            <w:vAlign w:val="center"/>
            <w:hideMark/>
          </w:tcPr>
          <w:p w14:paraId="5D181087" w14:textId="77777777" w:rsidR="00FB0548" w:rsidRDefault="00FB0548" w:rsidP="007D6452">
            <w:pPr>
              <w:keepNext/>
              <w:jc w:val="right"/>
              <w:rPr>
                <w:sz w:val="20"/>
                <w:szCs w:val="20"/>
              </w:rPr>
            </w:pPr>
          </w:p>
        </w:tc>
        <w:tc>
          <w:tcPr>
            <w:tcW w:w="960" w:type="dxa"/>
            <w:tcBorders>
              <w:top w:val="nil"/>
              <w:left w:val="nil"/>
              <w:bottom w:val="nil"/>
              <w:right w:val="nil"/>
            </w:tcBorders>
            <w:shd w:val="clear" w:color="000000" w:fill="auto"/>
            <w:noWrap/>
            <w:vAlign w:val="center"/>
            <w:hideMark/>
          </w:tcPr>
          <w:p w14:paraId="7F3EE7A7" w14:textId="77777777" w:rsidR="00FB0548" w:rsidRDefault="00FB0548" w:rsidP="007D6452">
            <w:pPr>
              <w:keepNext/>
              <w:jc w:val="right"/>
              <w:rPr>
                <w:sz w:val="20"/>
                <w:szCs w:val="20"/>
              </w:rPr>
            </w:pPr>
          </w:p>
        </w:tc>
      </w:tr>
      <w:tr w:rsidR="00FB0548" w14:paraId="76CB5D3A" w14:textId="77777777" w:rsidTr="007D6452">
        <w:trPr>
          <w:trHeight w:val="108"/>
        </w:trPr>
        <w:tc>
          <w:tcPr>
            <w:tcW w:w="4700" w:type="dxa"/>
            <w:tcBorders>
              <w:top w:val="nil"/>
              <w:left w:val="nil"/>
              <w:bottom w:val="nil"/>
              <w:right w:val="nil"/>
            </w:tcBorders>
            <w:noWrap/>
            <w:vAlign w:val="center"/>
            <w:hideMark/>
          </w:tcPr>
          <w:p w14:paraId="4BFC6A59"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D88BB64"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7189A3BF"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485BCDF9"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04F99F67"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7764F301" w14:textId="77777777" w:rsidR="00FB0548" w:rsidRDefault="00FB0548" w:rsidP="007D6452">
            <w:pPr>
              <w:keepNext/>
              <w:jc w:val="right"/>
              <w:rPr>
                <w:sz w:val="20"/>
                <w:szCs w:val="20"/>
              </w:rPr>
            </w:pPr>
          </w:p>
        </w:tc>
      </w:tr>
      <w:tr w:rsidR="00FB0548" w14:paraId="42FED2B2" w14:textId="77777777" w:rsidTr="007D6452">
        <w:trPr>
          <w:trHeight w:val="210"/>
        </w:trPr>
        <w:tc>
          <w:tcPr>
            <w:tcW w:w="4700" w:type="dxa"/>
            <w:tcBorders>
              <w:top w:val="single" w:sz="4" w:space="0" w:color="7F7F7F"/>
              <w:left w:val="nil"/>
              <w:bottom w:val="single" w:sz="4" w:space="0" w:color="7F7F7F"/>
              <w:right w:val="nil"/>
            </w:tcBorders>
            <w:shd w:val="clear" w:color="000000" w:fill="FFF2CC"/>
            <w:noWrap/>
            <w:vAlign w:val="center"/>
            <w:hideMark/>
          </w:tcPr>
          <w:p w14:paraId="72C4819D"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(Besoin) / Surplus cumulé - Avant actionnaires</w:t>
            </w:r>
          </w:p>
        </w:tc>
        <w:tc>
          <w:tcPr>
            <w:tcW w:w="960" w:type="dxa"/>
            <w:tcBorders>
              <w:top w:val="single" w:sz="4" w:space="0" w:color="7F7F7F"/>
              <w:left w:val="nil"/>
              <w:bottom w:val="single" w:sz="4" w:space="0" w:color="7F7F7F"/>
              <w:right w:val="nil"/>
            </w:tcBorders>
            <w:shd w:val="clear" w:color="000000" w:fill="FFF2CC"/>
            <w:noWrap/>
            <w:vAlign w:val="center"/>
            <w:hideMark/>
          </w:tcPr>
          <w:p w14:paraId="77AD5480"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4 124 </w:t>
            </w:r>
          </w:p>
        </w:tc>
        <w:tc>
          <w:tcPr>
            <w:tcW w:w="960" w:type="dxa"/>
            <w:tcBorders>
              <w:top w:val="single" w:sz="4" w:space="0" w:color="7F7F7F"/>
              <w:left w:val="nil"/>
              <w:bottom w:val="single" w:sz="4" w:space="0" w:color="7F7F7F"/>
              <w:right w:val="nil"/>
            </w:tcBorders>
            <w:shd w:val="clear" w:color="000000" w:fill="FFF2CC"/>
            <w:noWrap/>
            <w:vAlign w:val="center"/>
            <w:hideMark/>
          </w:tcPr>
          <w:p w14:paraId="4F8FA511"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6 407 </w:t>
            </w:r>
          </w:p>
        </w:tc>
        <w:tc>
          <w:tcPr>
            <w:tcW w:w="960" w:type="dxa"/>
            <w:tcBorders>
              <w:top w:val="single" w:sz="4" w:space="0" w:color="7F7F7F"/>
              <w:left w:val="nil"/>
              <w:bottom w:val="single" w:sz="4" w:space="0" w:color="7F7F7F"/>
              <w:right w:val="nil"/>
            </w:tcBorders>
            <w:shd w:val="clear" w:color="000000" w:fill="FFF2CC"/>
            <w:noWrap/>
            <w:vAlign w:val="center"/>
            <w:hideMark/>
          </w:tcPr>
          <w:p w14:paraId="54BC4CAC"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FFF2CC"/>
            <w:noWrap/>
            <w:vAlign w:val="center"/>
            <w:hideMark/>
          </w:tcPr>
          <w:p w14:paraId="56D657F9"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FFF2CC"/>
            <w:noWrap/>
            <w:vAlign w:val="center"/>
            <w:hideMark/>
          </w:tcPr>
          <w:p w14:paraId="77F9BE1A"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(4 355)</w:t>
            </w:r>
          </w:p>
        </w:tc>
      </w:tr>
      <w:tr w:rsidR="00FB0548" w14:paraId="3F574CF0" w14:textId="77777777" w:rsidTr="007D6452">
        <w:trPr>
          <w:trHeight w:val="108"/>
        </w:trPr>
        <w:tc>
          <w:tcPr>
            <w:tcW w:w="4700" w:type="dxa"/>
            <w:tcBorders>
              <w:top w:val="nil"/>
              <w:left w:val="nil"/>
              <w:bottom w:val="nil"/>
              <w:right w:val="nil"/>
            </w:tcBorders>
            <w:noWrap/>
            <w:vAlign w:val="center"/>
            <w:hideMark/>
          </w:tcPr>
          <w:p w14:paraId="44E5DC31"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413D225C"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615C061A"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262F5C1"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497AAC94"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023B7DD7" w14:textId="77777777" w:rsidR="00FB0548" w:rsidRDefault="00FB0548" w:rsidP="007D6452">
            <w:pPr>
              <w:keepNext/>
              <w:jc w:val="right"/>
              <w:rPr>
                <w:sz w:val="20"/>
                <w:szCs w:val="20"/>
              </w:rPr>
            </w:pPr>
          </w:p>
        </w:tc>
      </w:tr>
      <w:tr w:rsidR="00FB0548" w14:paraId="11176EC1" w14:textId="77777777" w:rsidTr="007D6452">
        <w:trPr>
          <w:trHeight w:val="210"/>
        </w:trPr>
        <w:tc>
          <w:tcPr>
            <w:tcW w:w="4700" w:type="dxa"/>
            <w:tcBorders>
              <w:top w:val="single" w:sz="4" w:space="0" w:color="7F7F7F"/>
              <w:left w:val="nil"/>
              <w:bottom w:val="single" w:sz="4" w:space="0" w:color="7F7F7F"/>
              <w:right w:val="nil"/>
            </w:tcBorders>
            <w:shd w:val="clear" w:color="000000" w:fill="ECF2F8"/>
            <w:noWrap/>
            <w:vAlign w:val="center"/>
            <w:hideMark/>
          </w:tcPr>
          <w:p w14:paraId="132F76FF"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Point bas intra-période - Avant actionnaires</w:t>
            </w:r>
          </w:p>
        </w:tc>
        <w:tc>
          <w:tcPr>
            <w:tcW w:w="960" w:type="dxa"/>
            <w:tcBorders>
              <w:top w:val="single" w:sz="4" w:space="0" w:color="7F7F7F"/>
              <w:left w:val="nil"/>
              <w:bottom w:val="single" w:sz="4" w:space="0" w:color="7F7F7F"/>
              <w:right w:val="nil"/>
            </w:tcBorders>
            <w:shd w:val="clear" w:color="000000" w:fill="ECF2F8"/>
            <w:noWrap/>
            <w:vAlign w:val="center"/>
            <w:hideMark/>
          </w:tcPr>
          <w:p w14:paraId="1EF4DD05"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833 </w:t>
            </w:r>
          </w:p>
        </w:tc>
        <w:tc>
          <w:tcPr>
            <w:tcW w:w="960" w:type="dxa"/>
            <w:tcBorders>
              <w:top w:val="single" w:sz="4" w:space="0" w:color="7F7F7F"/>
              <w:left w:val="nil"/>
              <w:bottom w:val="single" w:sz="4" w:space="0" w:color="7F7F7F"/>
              <w:right w:val="nil"/>
            </w:tcBorders>
            <w:shd w:val="clear" w:color="000000" w:fill="ECF2F8"/>
            <w:noWrap/>
            <w:vAlign w:val="center"/>
            <w:hideMark/>
          </w:tcPr>
          <w:p w14:paraId="32CFCE20"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4 544 </w:t>
            </w:r>
          </w:p>
        </w:tc>
        <w:tc>
          <w:tcPr>
            <w:tcW w:w="960" w:type="dxa"/>
            <w:tcBorders>
              <w:top w:val="single" w:sz="4" w:space="0" w:color="7F7F7F"/>
              <w:left w:val="nil"/>
              <w:bottom w:val="single" w:sz="4" w:space="0" w:color="7F7F7F"/>
              <w:right w:val="nil"/>
            </w:tcBorders>
            <w:shd w:val="clear" w:color="000000" w:fill="ECF2F8"/>
            <w:noWrap/>
            <w:vAlign w:val="center"/>
            <w:hideMark/>
          </w:tcPr>
          <w:p w14:paraId="69237C23"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ECF2F8"/>
            <w:noWrap/>
            <w:vAlign w:val="center"/>
            <w:hideMark/>
          </w:tcPr>
          <w:p w14:paraId="115E34BE"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ECF2F8"/>
            <w:noWrap/>
            <w:vAlign w:val="center"/>
            <w:hideMark/>
          </w:tcPr>
          <w:p w14:paraId="661A1152"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(4 355)</w:t>
            </w:r>
          </w:p>
        </w:tc>
      </w:tr>
      <w:tr w:rsidR="00FB0548" w14:paraId="7171A51A" w14:textId="77777777" w:rsidTr="007D6452">
        <w:trPr>
          <w:trHeight w:val="108"/>
        </w:trPr>
        <w:tc>
          <w:tcPr>
            <w:tcW w:w="4700" w:type="dxa"/>
            <w:tcBorders>
              <w:top w:val="nil"/>
              <w:left w:val="nil"/>
              <w:bottom w:val="nil"/>
              <w:right w:val="nil"/>
            </w:tcBorders>
            <w:noWrap/>
            <w:vAlign w:val="center"/>
            <w:hideMark/>
          </w:tcPr>
          <w:p w14:paraId="4B008E2C"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6F5B0054"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11288843"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B001BA0"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E30A630"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1B6449D8" w14:textId="77777777" w:rsidR="00FB0548" w:rsidRDefault="00FB0548" w:rsidP="007D6452">
            <w:pPr>
              <w:keepNext/>
              <w:jc w:val="right"/>
              <w:rPr>
                <w:sz w:val="20"/>
                <w:szCs w:val="20"/>
              </w:rPr>
            </w:pPr>
          </w:p>
        </w:tc>
      </w:tr>
      <w:tr w:rsidR="00FB0548" w14:paraId="12159486" w14:textId="77777777" w:rsidTr="007D6452">
        <w:trPr>
          <w:trHeight w:val="200"/>
        </w:trPr>
        <w:tc>
          <w:tcPr>
            <w:tcW w:w="4700" w:type="dxa"/>
            <w:tcBorders>
              <w:top w:val="nil"/>
              <w:left w:val="nil"/>
              <w:bottom w:val="nil"/>
              <w:right w:val="nil"/>
            </w:tcBorders>
            <w:noWrap/>
            <w:vAlign w:val="center"/>
            <w:hideMark/>
          </w:tcPr>
          <w:p w14:paraId="2FD7DB25" w14:textId="77777777" w:rsidR="00FB0548" w:rsidRDefault="00FB0548" w:rsidP="007D6452">
            <w:pPr>
              <w:keepNext/>
              <w:rPr>
                <w:rFonts w:ascii="Arial" w:hAnsi="Arial" w:cs="Arial"/>
                <w:sz w:val="16"/>
                <w:szCs w:val="16"/>
              </w:rPr>
            </w:pPr>
            <w:r>
              <w:rPr>
                <w:rFonts w:ascii="Arial" w:hAnsi="Arial" w:cs="Arial"/>
                <w:sz w:val="16"/>
                <w:szCs w:val="16"/>
              </w:rPr>
              <w:t>A verser aux actionnaires minoritaires</w:t>
            </w:r>
          </w:p>
        </w:tc>
        <w:tc>
          <w:tcPr>
            <w:tcW w:w="960" w:type="dxa"/>
            <w:tcBorders>
              <w:top w:val="nil"/>
              <w:left w:val="nil"/>
              <w:bottom w:val="nil"/>
              <w:right w:val="nil"/>
            </w:tcBorders>
            <w:noWrap/>
            <w:vAlign w:val="center"/>
            <w:hideMark/>
          </w:tcPr>
          <w:p w14:paraId="06FEE84C"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7C22548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C1152E6"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FA620A3"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333EFA50" w14:textId="77777777" w:rsidR="00FB0548" w:rsidRDefault="00FB0548" w:rsidP="007D6452">
            <w:pPr>
              <w:keepNext/>
              <w:jc w:val="right"/>
              <w:rPr>
                <w:rFonts w:ascii="Arial" w:hAnsi="Arial" w:cs="Arial"/>
                <w:sz w:val="16"/>
                <w:szCs w:val="16"/>
              </w:rPr>
            </w:pPr>
            <w:r>
              <w:rPr>
                <w:rFonts w:ascii="Arial" w:hAnsi="Arial" w:cs="Arial"/>
                <w:sz w:val="16"/>
                <w:szCs w:val="16"/>
              </w:rPr>
              <w:t>(17 243)</w:t>
            </w:r>
          </w:p>
        </w:tc>
      </w:tr>
      <w:tr w:rsidR="00FB0548" w14:paraId="36AE9646" w14:textId="77777777" w:rsidTr="007D6452">
        <w:trPr>
          <w:trHeight w:val="200"/>
        </w:trPr>
        <w:tc>
          <w:tcPr>
            <w:tcW w:w="4700" w:type="dxa"/>
            <w:tcBorders>
              <w:top w:val="nil"/>
              <w:left w:val="nil"/>
              <w:bottom w:val="nil"/>
              <w:right w:val="nil"/>
            </w:tcBorders>
            <w:noWrap/>
            <w:vAlign w:val="center"/>
            <w:hideMark/>
          </w:tcPr>
          <w:p w14:paraId="60EF9AC4" w14:textId="77777777" w:rsidR="00FB0548" w:rsidRDefault="00FB0548" w:rsidP="007D6452">
            <w:pPr>
              <w:keepNext/>
              <w:rPr>
                <w:rFonts w:ascii="Arial" w:hAnsi="Arial" w:cs="Arial"/>
                <w:sz w:val="16"/>
                <w:szCs w:val="16"/>
              </w:rPr>
            </w:pPr>
            <w:r>
              <w:rPr>
                <w:rFonts w:ascii="Arial" w:hAnsi="Arial" w:cs="Arial"/>
                <w:sz w:val="16"/>
                <w:szCs w:val="16"/>
              </w:rPr>
              <w:t>Reçu de la part des filiales</w:t>
            </w:r>
          </w:p>
        </w:tc>
        <w:tc>
          <w:tcPr>
            <w:tcW w:w="960" w:type="dxa"/>
            <w:tcBorders>
              <w:top w:val="nil"/>
              <w:left w:val="nil"/>
              <w:bottom w:val="nil"/>
              <w:right w:val="nil"/>
            </w:tcBorders>
            <w:noWrap/>
            <w:vAlign w:val="center"/>
            <w:hideMark/>
          </w:tcPr>
          <w:p w14:paraId="631132FC"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25DDC8F6"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8734FEC"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0ACDE050"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7230CCB" w14:textId="77777777" w:rsidR="00FB0548" w:rsidRDefault="00FB0548" w:rsidP="007D6452">
            <w:pPr>
              <w:keepNext/>
              <w:jc w:val="right"/>
              <w:rPr>
                <w:rFonts w:ascii="Arial" w:hAnsi="Arial" w:cs="Arial"/>
                <w:sz w:val="16"/>
                <w:szCs w:val="16"/>
              </w:rPr>
            </w:pPr>
            <w:r>
              <w:rPr>
                <w:rFonts w:ascii="Arial" w:hAnsi="Arial" w:cs="Arial"/>
                <w:sz w:val="16"/>
                <w:szCs w:val="16"/>
              </w:rPr>
              <w:t xml:space="preserve">15 734 </w:t>
            </w:r>
          </w:p>
        </w:tc>
      </w:tr>
      <w:tr w:rsidR="00FB0548" w14:paraId="44E1B979" w14:textId="77777777" w:rsidTr="007D6452">
        <w:trPr>
          <w:trHeight w:val="200"/>
        </w:trPr>
        <w:tc>
          <w:tcPr>
            <w:tcW w:w="4700" w:type="dxa"/>
            <w:tcBorders>
              <w:top w:val="nil"/>
              <w:left w:val="nil"/>
              <w:bottom w:val="nil"/>
              <w:right w:val="nil"/>
            </w:tcBorders>
            <w:noWrap/>
            <w:vAlign w:val="center"/>
            <w:hideMark/>
          </w:tcPr>
          <w:p w14:paraId="62C7BCB1" w14:textId="77777777" w:rsidR="00FB0548" w:rsidRDefault="00FB0548" w:rsidP="007D6452">
            <w:pPr>
              <w:keepNext/>
              <w:rPr>
                <w:rFonts w:ascii="Arial" w:hAnsi="Arial" w:cs="Arial"/>
                <w:sz w:val="16"/>
                <w:szCs w:val="16"/>
              </w:rPr>
            </w:pPr>
            <w:r>
              <w:rPr>
                <w:rFonts w:ascii="Arial" w:hAnsi="Arial" w:cs="Arial"/>
                <w:sz w:val="16"/>
                <w:szCs w:val="16"/>
              </w:rPr>
              <w:t>Autres parts à recevoir (Périmètre hors RJ)</w:t>
            </w:r>
          </w:p>
        </w:tc>
        <w:tc>
          <w:tcPr>
            <w:tcW w:w="960" w:type="dxa"/>
            <w:tcBorders>
              <w:top w:val="nil"/>
              <w:left w:val="nil"/>
              <w:bottom w:val="nil"/>
              <w:right w:val="nil"/>
            </w:tcBorders>
            <w:noWrap/>
            <w:vAlign w:val="center"/>
            <w:hideMark/>
          </w:tcPr>
          <w:p w14:paraId="239EB429"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1A7244EA"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2CCA8B71"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71543DFF"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7DB5892" w14:textId="77777777" w:rsidR="00FB0548" w:rsidRDefault="00FB0548" w:rsidP="007D6452">
            <w:pPr>
              <w:keepNext/>
              <w:jc w:val="right"/>
              <w:rPr>
                <w:rFonts w:ascii="Arial" w:hAnsi="Arial" w:cs="Arial"/>
                <w:sz w:val="16"/>
                <w:szCs w:val="16"/>
              </w:rPr>
            </w:pPr>
            <w:r>
              <w:rPr>
                <w:rFonts w:ascii="Arial" w:hAnsi="Arial" w:cs="Arial"/>
                <w:sz w:val="16"/>
                <w:szCs w:val="16"/>
              </w:rPr>
              <w:t xml:space="preserve">6 863 </w:t>
            </w:r>
          </w:p>
        </w:tc>
      </w:tr>
      <w:tr w:rsidR="00FB0548" w14:paraId="6D8ABA2B" w14:textId="77777777" w:rsidTr="007D6452">
        <w:trPr>
          <w:trHeight w:val="108"/>
        </w:trPr>
        <w:tc>
          <w:tcPr>
            <w:tcW w:w="4700" w:type="dxa"/>
            <w:tcBorders>
              <w:top w:val="nil"/>
              <w:left w:val="nil"/>
              <w:bottom w:val="nil"/>
              <w:right w:val="nil"/>
            </w:tcBorders>
            <w:noWrap/>
            <w:vAlign w:val="center"/>
            <w:hideMark/>
          </w:tcPr>
          <w:p w14:paraId="22952808" w14:textId="77777777" w:rsidR="00FB0548" w:rsidRDefault="00FB0548" w:rsidP="007D6452">
            <w:pPr>
              <w:keepNext/>
              <w:jc w:val="right"/>
              <w:rPr>
                <w:rFonts w:ascii="Arial" w:hAnsi="Arial" w:cs="Arial"/>
                <w:sz w:val="16"/>
                <w:szCs w:val="16"/>
              </w:rPr>
            </w:pPr>
          </w:p>
        </w:tc>
        <w:tc>
          <w:tcPr>
            <w:tcW w:w="960" w:type="dxa"/>
            <w:tcBorders>
              <w:top w:val="nil"/>
              <w:left w:val="nil"/>
              <w:bottom w:val="nil"/>
              <w:right w:val="nil"/>
            </w:tcBorders>
            <w:noWrap/>
            <w:vAlign w:val="center"/>
            <w:hideMark/>
          </w:tcPr>
          <w:p w14:paraId="4F2D82E9"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200413D7"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779E7DC"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7AC0CB12"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13B5DCF" w14:textId="77777777" w:rsidR="00FB0548" w:rsidRDefault="00FB0548" w:rsidP="007D6452">
            <w:pPr>
              <w:keepNext/>
              <w:jc w:val="right"/>
              <w:rPr>
                <w:sz w:val="20"/>
                <w:szCs w:val="20"/>
              </w:rPr>
            </w:pPr>
          </w:p>
        </w:tc>
      </w:tr>
      <w:tr w:rsidR="00FB0548" w14:paraId="3A9D5AFD" w14:textId="77777777" w:rsidTr="007D6452">
        <w:trPr>
          <w:trHeight w:val="210"/>
        </w:trPr>
        <w:tc>
          <w:tcPr>
            <w:tcW w:w="4700" w:type="dxa"/>
            <w:tcBorders>
              <w:top w:val="single" w:sz="4" w:space="0" w:color="7F7F7F"/>
              <w:left w:val="nil"/>
              <w:bottom w:val="single" w:sz="4" w:space="0" w:color="7F7F7F"/>
              <w:right w:val="nil"/>
            </w:tcBorders>
            <w:shd w:val="clear" w:color="000000" w:fill="FFF2CC"/>
            <w:noWrap/>
            <w:vAlign w:val="center"/>
            <w:hideMark/>
          </w:tcPr>
          <w:p w14:paraId="7E14FA01"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(Besoin) / Surplus cumulé - Après actionnaires</w:t>
            </w:r>
          </w:p>
        </w:tc>
        <w:tc>
          <w:tcPr>
            <w:tcW w:w="960" w:type="dxa"/>
            <w:tcBorders>
              <w:top w:val="single" w:sz="4" w:space="0" w:color="7F7F7F"/>
              <w:left w:val="nil"/>
              <w:bottom w:val="single" w:sz="4" w:space="0" w:color="7F7F7F"/>
              <w:right w:val="nil"/>
            </w:tcBorders>
            <w:shd w:val="clear" w:color="000000" w:fill="FFF2CC"/>
            <w:noWrap/>
            <w:vAlign w:val="center"/>
            <w:hideMark/>
          </w:tcPr>
          <w:p w14:paraId="05C7F845"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4 124 </w:t>
            </w:r>
          </w:p>
        </w:tc>
        <w:tc>
          <w:tcPr>
            <w:tcW w:w="960" w:type="dxa"/>
            <w:tcBorders>
              <w:top w:val="single" w:sz="4" w:space="0" w:color="7F7F7F"/>
              <w:left w:val="nil"/>
              <w:bottom w:val="single" w:sz="4" w:space="0" w:color="7F7F7F"/>
              <w:right w:val="nil"/>
            </w:tcBorders>
            <w:shd w:val="clear" w:color="000000" w:fill="FFF2CC"/>
            <w:noWrap/>
            <w:vAlign w:val="center"/>
            <w:hideMark/>
          </w:tcPr>
          <w:p w14:paraId="638C24F0"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6 407 </w:t>
            </w:r>
          </w:p>
        </w:tc>
        <w:tc>
          <w:tcPr>
            <w:tcW w:w="960" w:type="dxa"/>
            <w:tcBorders>
              <w:top w:val="single" w:sz="4" w:space="0" w:color="7F7F7F"/>
              <w:left w:val="nil"/>
              <w:bottom w:val="single" w:sz="4" w:space="0" w:color="7F7F7F"/>
              <w:right w:val="nil"/>
            </w:tcBorders>
            <w:shd w:val="clear" w:color="000000" w:fill="FFF2CC"/>
            <w:noWrap/>
            <w:vAlign w:val="center"/>
            <w:hideMark/>
          </w:tcPr>
          <w:p w14:paraId="1271FC08"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FFF2CC"/>
            <w:noWrap/>
            <w:vAlign w:val="center"/>
            <w:hideMark/>
          </w:tcPr>
          <w:p w14:paraId="39DE8783"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FFF2CC"/>
            <w:noWrap/>
            <w:vAlign w:val="center"/>
            <w:hideMark/>
          </w:tcPr>
          <w:p w14:paraId="290186CE"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999 </w:t>
            </w:r>
          </w:p>
        </w:tc>
      </w:tr>
      <w:tr w:rsidR="00FB0548" w14:paraId="097B9C99" w14:textId="77777777" w:rsidTr="007D6452">
        <w:trPr>
          <w:trHeight w:val="108"/>
        </w:trPr>
        <w:tc>
          <w:tcPr>
            <w:tcW w:w="4700" w:type="dxa"/>
            <w:tcBorders>
              <w:top w:val="nil"/>
              <w:left w:val="nil"/>
              <w:bottom w:val="nil"/>
              <w:right w:val="nil"/>
            </w:tcBorders>
            <w:noWrap/>
            <w:vAlign w:val="center"/>
            <w:hideMark/>
          </w:tcPr>
          <w:p w14:paraId="41B860B2"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59625CC3"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2D8D8559"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29417F60"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0C049C2"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7BDA870B" w14:textId="77777777" w:rsidR="00FB0548" w:rsidRDefault="00FB0548" w:rsidP="007D6452">
            <w:pPr>
              <w:keepNext/>
              <w:jc w:val="right"/>
              <w:rPr>
                <w:sz w:val="20"/>
                <w:szCs w:val="20"/>
              </w:rPr>
            </w:pPr>
          </w:p>
        </w:tc>
      </w:tr>
      <w:tr w:rsidR="00FB0548" w14:paraId="6F6DB1BC" w14:textId="77777777" w:rsidTr="007D6452">
        <w:trPr>
          <w:trHeight w:val="210"/>
        </w:trPr>
        <w:tc>
          <w:tcPr>
            <w:tcW w:w="4700" w:type="dxa"/>
            <w:tcBorders>
              <w:top w:val="single" w:sz="4" w:space="0" w:color="7F7F7F"/>
              <w:left w:val="nil"/>
              <w:bottom w:val="single" w:sz="4" w:space="0" w:color="7F7F7F"/>
              <w:right w:val="nil"/>
            </w:tcBorders>
            <w:shd w:val="clear" w:color="000000" w:fill="ECF2F8"/>
            <w:noWrap/>
            <w:vAlign w:val="center"/>
            <w:hideMark/>
          </w:tcPr>
          <w:p w14:paraId="663346C3"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Point bas intra-période - Après actionnaires</w:t>
            </w:r>
          </w:p>
        </w:tc>
        <w:tc>
          <w:tcPr>
            <w:tcW w:w="960" w:type="dxa"/>
            <w:tcBorders>
              <w:top w:val="single" w:sz="4" w:space="0" w:color="7F7F7F"/>
              <w:left w:val="nil"/>
              <w:bottom w:val="single" w:sz="4" w:space="0" w:color="7F7F7F"/>
              <w:right w:val="nil"/>
            </w:tcBorders>
            <w:shd w:val="clear" w:color="000000" w:fill="ECF2F8"/>
            <w:noWrap/>
            <w:vAlign w:val="center"/>
            <w:hideMark/>
          </w:tcPr>
          <w:p w14:paraId="582E94FC"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833 </w:t>
            </w:r>
          </w:p>
        </w:tc>
        <w:tc>
          <w:tcPr>
            <w:tcW w:w="960" w:type="dxa"/>
            <w:tcBorders>
              <w:top w:val="single" w:sz="4" w:space="0" w:color="7F7F7F"/>
              <w:left w:val="nil"/>
              <w:bottom w:val="single" w:sz="4" w:space="0" w:color="7F7F7F"/>
              <w:right w:val="nil"/>
            </w:tcBorders>
            <w:shd w:val="clear" w:color="000000" w:fill="ECF2F8"/>
            <w:noWrap/>
            <w:vAlign w:val="center"/>
            <w:hideMark/>
          </w:tcPr>
          <w:p w14:paraId="0E1661D7"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4 544 </w:t>
            </w:r>
          </w:p>
        </w:tc>
        <w:tc>
          <w:tcPr>
            <w:tcW w:w="960" w:type="dxa"/>
            <w:tcBorders>
              <w:top w:val="single" w:sz="4" w:space="0" w:color="7F7F7F"/>
              <w:left w:val="nil"/>
              <w:bottom w:val="single" w:sz="4" w:space="0" w:color="7F7F7F"/>
              <w:right w:val="nil"/>
            </w:tcBorders>
            <w:shd w:val="clear" w:color="000000" w:fill="ECF2F8"/>
            <w:noWrap/>
            <w:vAlign w:val="center"/>
            <w:hideMark/>
          </w:tcPr>
          <w:p w14:paraId="0BB423DD"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ECF2F8"/>
            <w:noWrap/>
            <w:vAlign w:val="center"/>
            <w:hideMark/>
          </w:tcPr>
          <w:p w14:paraId="18D095F3"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ECF2F8"/>
            <w:noWrap/>
            <w:vAlign w:val="center"/>
            <w:hideMark/>
          </w:tcPr>
          <w:p w14:paraId="15155BC1"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999 </w:t>
            </w:r>
          </w:p>
        </w:tc>
      </w:tr>
      <w:tr w:rsidR="00FB0548" w14:paraId="21E277A4" w14:textId="77777777" w:rsidTr="007D6452">
        <w:trPr>
          <w:trHeight w:val="108"/>
        </w:trPr>
        <w:tc>
          <w:tcPr>
            <w:tcW w:w="4700" w:type="dxa"/>
            <w:tcBorders>
              <w:top w:val="nil"/>
              <w:left w:val="nil"/>
              <w:bottom w:val="nil"/>
              <w:right w:val="nil"/>
            </w:tcBorders>
            <w:noWrap/>
            <w:vAlign w:val="center"/>
            <w:hideMark/>
          </w:tcPr>
          <w:p w14:paraId="5E486318"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1A0E7BD8"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38B1C511"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16E1EE7A"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748674DD"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653E4B7A" w14:textId="77777777" w:rsidR="00FB0548" w:rsidRDefault="00FB0548" w:rsidP="007D6452">
            <w:pPr>
              <w:keepNext/>
              <w:rPr>
                <w:sz w:val="20"/>
                <w:szCs w:val="20"/>
              </w:rPr>
            </w:pPr>
          </w:p>
        </w:tc>
      </w:tr>
      <w:tr w:rsidR="00FB0548" w14:paraId="195C71B4" w14:textId="77777777" w:rsidTr="007D6452">
        <w:trPr>
          <w:trHeight w:val="200"/>
        </w:trPr>
        <w:tc>
          <w:tcPr>
            <w:tcW w:w="4700" w:type="dxa"/>
            <w:tcBorders>
              <w:top w:val="nil"/>
              <w:left w:val="nil"/>
              <w:bottom w:val="nil"/>
              <w:right w:val="nil"/>
            </w:tcBorders>
            <w:noWrap/>
            <w:vAlign w:val="center"/>
            <w:hideMark/>
          </w:tcPr>
          <w:p w14:paraId="08148CC6" w14:textId="77777777" w:rsidR="00FB0548" w:rsidRDefault="00FB0548" w:rsidP="007D6452">
            <w:pPr>
              <w:keepNext/>
              <w:rPr>
                <w:rFonts w:ascii="Arial" w:hAnsi="Arial" w:cs="Arial"/>
                <w:sz w:val="16"/>
                <w:szCs w:val="16"/>
              </w:rPr>
            </w:pPr>
            <w:r>
              <w:rPr>
                <w:rFonts w:ascii="Arial" w:hAnsi="Arial" w:cs="Arial"/>
                <w:sz w:val="16"/>
                <w:szCs w:val="16"/>
              </w:rPr>
              <w:t xml:space="preserve">Impact </w:t>
            </w:r>
            <w:r>
              <w:rPr>
                <w:rFonts w:ascii="Arial" w:hAnsi="Arial" w:cs="Arial"/>
                <w:i/>
                <w:iCs/>
                <w:sz w:val="16"/>
                <w:szCs w:val="16"/>
              </w:rPr>
              <w:t>cash-</w:t>
            </w:r>
            <w:proofErr w:type="spellStart"/>
            <w:r>
              <w:rPr>
                <w:rFonts w:ascii="Arial" w:hAnsi="Arial" w:cs="Arial"/>
                <w:i/>
                <w:iCs/>
                <w:sz w:val="16"/>
                <w:szCs w:val="16"/>
              </w:rPr>
              <w:t>pooling</w:t>
            </w:r>
            <w:proofErr w:type="spellEnd"/>
          </w:p>
        </w:tc>
        <w:tc>
          <w:tcPr>
            <w:tcW w:w="960" w:type="dxa"/>
            <w:tcBorders>
              <w:top w:val="nil"/>
              <w:left w:val="nil"/>
              <w:bottom w:val="nil"/>
              <w:right w:val="nil"/>
            </w:tcBorders>
            <w:noWrap/>
            <w:vAlign w:val="center"/>
            <w:hideMark/>
          </w:tcPr>
          <w:p w14:paraId="17693244"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39BA263B"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355982DF"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5FE6BE5"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c>
          <w:tcPr>
            <w:tcW w:w="960" w:type="dxa"/>
            <w:tcBorders>
              <w:top w:val="nil"/>
              <w:left w:val="nil"/>
              <w:bottom w:val="nil"/>
              <w:right w:val="nil"/>
            </w:tcBorders>
            <w:noWrap/>
            <w:vAlign w:val="center"/>
            <w:hideMark/>
          </w:tcPr>
          <w:p w14:paraId="4C7E0396" w14:textId="77777777" w:rsidR="00FB0548" w:rsidRDefault="00FB0548" w:rsidP="007D6452">
            <w:pPr>
              <w:keepNext/>
              <w:jc w:val="right"/>
              <w:rPr>
                <w:rFonts w:ascii="Arial" w:hAnsi="Arial" w:cs="Arial"/>
                <w:sz w:val="16"/>
                <w:szCs w:val="16"/>
              </w:rPr>
            </w:pPr>
            <w:r>
              <w:rPr>
                <w:rFonts w:ascii="Arial" w:hAnsi="Arial" w:cs="Arial"/>
                <w:sz w:val="16"/>
                <w:szCs w:val="16"/>
              </w:rPr>
              <w:t xml:space="preserve">- </w:t>
            </w:r>
          </w:p>
        </w:tc>
      </w:tr>
      <w:tr w:rsidR="00FB0548" w14:paraId="2758A0D8" w14:textId="77777777" w:rsidTr="007D6452">
        <w:trPr>
          <w:trHeight w:val="108"/>
        </w:trPr>
        <w:tc>
          <w:tcPr>
            <w:tcW w:w="4700" w:type="dxa"/>
            <w:tcBorders>
              <w:top w:val="nil"/>
              <w:left w:val="nil"/>
              <w:bottom w:val="nil"/>
              <w:right w:val="nil"/>
            </w:tcBorders>
            <w:noWrap/>
            <w:vAlign w:val="center"/>
            <w:hideMark/>
          </w:tcPr>
          <w:p w14:paraId="0A82C290" w14:textId="77777777" w:rsidR="00FB0548" w:rsidRDefault="00FB0548" w:rsidP="007D6452">
            <w:pPr>
              <w:keepNext/>
              <w:jc w:val="right"/>
              <w:rPr>
                <w:rFonts w:ascii="Arial" w:hAnsi="Arial" w:cs="Arial"/>
                <w:sz w:val="16"/>
                <w:szCs w:val="16"/>
              </w:rPr>
            </w:pPr>
          </w:p>
        </w:tc>
        <w:tc>
          <w:tcPr>
            <w:tcW w:w="960" w:type="dxa"/>
            <w:tcBorders>
              <w:top w:val="nil"/>
              <w:left w:val="nil"/>
              <w:bottom w:val="nil"/>
              <w:right w:val="nil"/>
            </w:tcBorders>
            <w:noWrap/>
            <w:vAlign w:val="center"/>
            <w:hideMark/>
          </w:tcPr>
          <w:p w14:paraId="556EBC51"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143B5D80"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447EA475"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4977F5BE"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1A1B60AE" w14:textId="77777777" w:rsidR="00FB0548" w:rsidRDefault="00FB0548" w:rsidP="007D6452">
            <w:pPr>
              <w:keepNext/>
              <w:jc w:val="right"/>
              <w:rPr>
                <w:sz w:val="20"/>
                <w:szCs w:val="20"/>
              </w:rPr>
            </w:pPr>
          </w:p>
        </w:tc>
      </w:tr>
      <w:tr w:rsidR="00FB0548" w14:paraId="0725E3BC" w14:textId="77777777" w:rsidTr="007D6452">
        <w:trPr>
          <w:trHeight w:val="210"/>
        </w:trPr>
        <w:tc>
          <w:tcPr>
            <w:tcW w:w="4700" w:type="dxa"/>
            <w:tcBorders>
              <w:top w:val="single" w:sz="4" w:space="0" w:color="7F7F7F"/>
              <w:left w:val="nil"/>
              <w:bottom w:val="single" w:sz="4" w:space="0" w:color="7F7F7F"/>
              <w:right w:val="nil"/>
            </w:tcBorders>
            <w:shd w:val="clear" w:color="000000" w:fill="FFF2CC"/>
            <w:noWrap/>
            <w:vAlign w:val="center"/>
            <w:hideMark/>
          </w:tcPr>
          <w:p w14:paraId="0E1F49B3"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 xml:space="preserve">(Besoin) / Surplus cum. - Après </w:t>
            </w:r>
            <w:proofErr w:type="spellStart"/>
            <w:r>
              <w:rPr>
                <w:rFonts w:ascii="Arial" w:hAnsi="Arial" w:cs="Arial"/>
                <w:b/>
                <w:bCs/>
                <w:color w:val="000000"/>
                <w:sz w:val="16"/>
                <w:szCs w:val="16"/>
              </w:rPr>
              <w:t>act</w:t>
            </w:r>
            <w:proofErr w:type="spellEnd"/>
            <w:r>
              <w:rPr>
                <w:rFonts w:ascii="Arial" w:hAnsi="Arial" w:cs="Arial"/>
                <w:b/>
                <w:bCs/>
                <w:color w:val="000000"/>
                <w:sz w:val="16"/>
                <w:szCs w:val="16"/>
              </w:rPr>
              <w:t>. &amp; cash-pool.</w:t>
            </w:r>
          </w:p>
        </w:tc>
        <w:tc>
          <w:tcPr>
            <w:tcW w:w="960" w:type="dxa"/>
            <w:tcBorders>
              <w:top w:val="single" w:sz="4" w:space="0" w:color="7F7F7F"/>
              <w:left w:val="nil"/>
              <w:bottom w:val="single" w:sz="4" w:space="0" w:color="7F7F7F"/>
              <w:right w:val="nil"/>
            </w:tcBorders>
            <w:shd w:val="clear" w:color="000000" w:fill="FFF2CC"/>
            <w:noWrap/>
            <w:vAlign w:val="center"/>
            <w:hideMark/>
          </w:tcPr>
          <w:p w14:paraId="615B1997"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4 124 </w:t>
            </w:r>
          </w:p>
        </w:tc>
        <w:tc>
          <w:tcPr>
            <w:tcW w:w="960" w:type="dxa"/>
            <w:tcBorders>
              <w:top w:val="single" w:sz="4" w:space="0" w:color="7F7F7F"/>
              <w:left w:val="nil"/>
              <w:bottom w:val="single" w:sz="4" w:space="0" w:color="7F7F7F"/>
              <w:right w:val="nil"/>
            </w:tcBorders>
            <w:shd w:val="clear" w:color="000000" w:fill="FFF2CC"/>
            <w:noWrap/>
            <w:vAlign w:val="center"/>
            <w:hideMark/>
          </w:tcPr>
          <w:p w14:paraId="7EF18D38"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6 407 </w:t>
            </w:r>
          </w:p>
        </w:tc>
        <w:tc>
          <w:tcPr>
            <w:tcW w:w="960" w:type="dxa"/>
            <w:tcBorders>
              <w:top w:val="single" w:sz="4" w:space="0" w:color="7F7F7F"/>
              <w:left w:val="nil"/>
              <w:bottom w:val="single" w:sz="4" w:space="0" w:color="7F7F7F"/>
              <w:right w:val="nil"/>
            </w:tcBorders>
            <w:shd w:val="clear" w:color="000000" w:fill="FFF2CC"/>
            <w:noWrap/>
            <w:vAlign w:val="center"/>
            <w:hideMark/>
          </w:tcPr>
          <w:p w14:paraId="13C3959B"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FFF2CC"/>
            <w:noWrap/>
            <w:vAlign w:val="center"/>
            <w:hideMark/>
          </w:tcPr>
          <w:p w14:paraId="514F2350"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FFF2CC"/>
            <w:noWrap/>
            <w:vAlign w:val="center"/>
            <w:hideMark/>
          </w:tcPr>
          <w:p w14:paraId="640AA341"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999 </w:t>
            </w:r>
          </w:p>
        </w:tc>
      </w:tr>
      <w:tr w:rsidR="00FB0548" w14:paraId="2E297ED3" w14:textId="77777777" w:rsidTr="007D6452">
        <w:trPr>
          <w:trHeight w:val="108"/>
        </w:trPr>
        <w:tc>
          <w:tcPr>
            <w:tcW w:w="4700" w:type="dxa"/>
            <w:tcBorders>
              <w:top w:val="nil"/>
              <w:left w:val="nil"/>
              <w:bottom w:val="nil"/>
              <w:right w:val="nil"/>
            </w:tcBorders>
            <w:noWrap/>
            <w:vAlign w:val="center"/>
            <w:hideMark/>
          </w:tcPr>
          <w:p w14:paraId="539E6515" w14:textId="77777777" w:rsidR="00FB0548" w:rsidRDefault="00FB0548" w:rsidP="007D6452">
            <w:pPr>
              <w:keepNext/>
              <w:jc w:val="right"/>
              <w:rPr>
                <w:rFonts w:ascii="Arial" w:hAnsi="Arial" w:cs="Arial"/>
                <w:b/>
                <w:bCs/>
                <w:color w:val="000000"/>
                <w:sz w:val="16"/>
                <w:szCs w:val="16"/>
              </w:rPr>
            </w:pPr>
          </w:p>
        </w:tc>
        <w:tc>
          <w:tcPr>
            <w:tcW w:w="960" w:type="dxa"/>
            <w:tcBorders>
              <w:top w:val="nil"/>
              <w:left w:val="nil"/>
              <w:bottom w:val="nil"/>
              <w:right w:val="nil"/>
            </w:tcBorders>
            <w:noWrap/>
            <w:vAlign w:val="center"/>
            <w:hideMark/>
          </w:tcPr>
          <w:p w14:paraId="7E98C2E6" w14:textId="77777777" w:rsidR="00FB0548" w:rsidRDefault="00FB0548" w:rsidP="007D6452">
            <w:pPr>
              <w:keepNext/>
              <w:rPr>
                <w:sz w:val="20"/>
                <w:szCs w:val="20"/>
              </w:rPr>
            </w:pPr>
          </w:p>
        </w:tc>
        <w:tc>
          <w:tcPr>
            <w:tcW w:w="960" w:type="dxa"/>
            <w:tcBorders>
              <w:top w:val="nil"/>
              <w:left w:val="nil"/>
              <w:bottom w:val="nil"/>
              <w:right w:val="nil"/>
            </w:tcBorders>
            <w:noWrap/>
            <w:vAlign w:val="center"/>
            <w:hideMark/>
          </w:tcPr>
          <w:p w14:paraId="4579DD74"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6F317431"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7437FD3" w14:textId="77777777" w:rsidR="00FB0548" w:rsidRDefault="00FB0548" w:rsidP="007D6452">
            <w:pPr>
              <w:keepNext/>
              <w:jc w:val="right"/>
              <w:rPr>
                <w:sz w:val="20"/>
                <w:szCs w:val="20"/>
              </w:rPr>
            </w:pPr>
          </w:p>
        </w:tc>
        <w:tc>
          <w:tcPr>
            <w:tcW w:w="960" w:type="dxa"/>
            <w:tcBorders>
              <w:top w:val="nil"/>
              <w:left w:val="nil"/>
              <w:bottom w:val="nil"/>
              <w:right w:val="nil"/>
            </w:tcBorders>
            <w:noWrap/>
            <w:vAlign w:val="center"/>
            <w:hideMark/>
          </w:tcPr>
          <w:p w14:paraId="538B9D97" w14:textId="77777777" w:rsidR="00FB0548" w:rsidRDefault="00FB0548" w:rsidP="007D6452">
            <w:pPr>
              <w:keepNext/>
              <w:jc w:val="right"/>
              <w:rPr>
                <w:sz w:val="20"/>
                <w:szCs w:val="20"/>
              </w:rPr>
            </w:pPr>
          </w:p>
        </w:tc>
      </w:tr>
      <w:tr w:rsidR="00FB0548" w14:paraId="424D5135" w14:textId="77777777" w:rsidTr="007D6452">
        <w:trPr>
          <w:trHeight w:val="210"/>
        </w:trPr>
        <w:tc>
          <w:tcPr>
            <w:tcW w:w="4700" w:type="dxa"/>
            <w:tcBorders>
              <w:top w:val="single" w:sz="4" w:space="0" w:color="7F7F7F"/>
              <w:left w:val="nil"/>
              <w:bottom w:val="single" w:sz="4" w:space="0" w:color="7F7F7F"/>
              <w:right w:val="nil"/>
            </w:tcBorders>
            <w:shd w:val="clear" w:color="000000" w:fill="ECF2F8"/>
            <w:noWrap/>
            <w:vAlign w:val="center"/>
            <w:hideMark/>
          </w:tcPr>
          <w:p w14:paraId="08F33DBF" w14:textId="77777777" w:rsidR="00FB0548" w:rsidRDefault="00FB0548" w:rsidP="007D6452">
            <w:pPr>
              <w:keepNext/>
              <w:rPr>
                <w:rFonts w:ascii="Arial" w:hAnsi="Arial" w:cs="Arial"/>
                <w:b/>
                <w:bCs/>
                <w:color w:val="000000"/>
                <w:sz w:val="16"/>
                <w:szCs w:val="16"/>
              </w:rPr>
            </w:pPr>
            <w:r>
              <w:rPr>
                <w:rFonts w:ascii="Arial" w:hAnsi="Arial" w:cs="Arial"/>
                <w:b/>
                <w:bCs/>
                <w:color w:val="000000"/>
                <w:sz w:val="16"/>
                <w:szCs w:val="16"/>
              </w:rPr>
              <w:t xml:space="preserve">Point bas intra-période - Après </w:t>
            </w:r>
            <w:proofErr w:type="spellStart"/>
            <w:r>
              <w:rPr>
                <w:rFonts w:ascii="Arial" w:hAnsi="Arial" w:cs="Arial"/>
                <w:b/>
                <w:bCs/>
                <w:color w:val="000000"/>
                <w:sz w:val="16"/>
                <w:szCs w:val="16"/>
              </w:rPr>
              <w:t>act</w:t>
            </w:r>
            <w:proofErr w:type="spellEnd"/>
            <w:r>
              <w:rPr>
                <w:rFonts w:ascii="Arial" w:hAnsi="Arial" w:cs="Arial"/>
                <w:b/>
                <w:bCs/>
                <w:color w:val="000000"/>
                <w:sz w:val="16"/>
                <w:szCs w:val="16"/>
              </w:rPr>
              <w:t>. &amp; cash-pool.</w:t>
            </w:r>
          </w:p>
        </w:tc>
        <w:tc>
          <w:tcPr>
            <w:tcW w:w="960" w:type="dxa"/>
            <w:tcBorders>
              <w:top w:val="single" w:sz="4" w:space="0" w:color="7F7F7F"/>
              <w:left w:val="nil"/>
              <w:bottom w:val="single" w:sz="4" w:space="0" w:color="7F7F7F"/>
              <w:right w:val="nil"/>
            </w:tcBorders>
            <w:shd w:val="clear" w:color="000000" w:fill="ECF2F8"/>
            <w:noWrap/>
            <w:vAlign w:val="center"/>
            <w:hideMark/>
          </w:tcPr>
          <w:p w14:paraId="76947ABC"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833 </w:t>
            </w:r>
          </w:p>
        </w:tc>
        <w:tc>
          <w:tcPr>
            <w:tcW w:w="960" w:type="dxa"/>
            <w:tcBorders>
              <w:top w:val="single" w:sz="4" w:space="0" w:color="7F7F7F"/>
              <w:left w:val="nil"/>
              <w:bottom w:val="single" w:sz="4" w:space="0" w:color="7F7F7F"/>
              <w:right w:val="nil"/>
            </w:tcBorders>
            <w:shd w:val="clear" w:color="000000" w:fill="ECF2F8"/>
            <w:noWrap/>
            <w:vAlign w:val="center"/>
            <w:hideMark/>
          </w:tcPr>
          <w:p w14:paraId="393580E6"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4 544 </w:t>
            </w:r>
          </w:p>
        </w:tc>
        <w:tc>
          <w:tcPr>
            <w:tcW w:w="960" w:type="dxa"/>
            <w:tcBorders>
              <w:top w:val="single" w:sz="4" w:space="0" w:color="7F7F7F"/>
              <w:left w:val="nil"/>
              <w:bottom w:val="single" w:sz="4" w:space="0" w:color="7F7F7F"/>
              <w:right w:val="nil"/>
            </w:tcBorders>
            <w:shd w:val="clear" w:color="000000" w:fill="ECF2F8"/>
            <w:noWrap/>
            <w:vAlign w:val="center"/>
            <w:hideMark/>
          </w:tcPr>
          <w:p w14:paraId="549EC21B"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4 948 </w:t>
            </w:r>
          </w:p>
        </w:tc>
        <w:tc>
          <w:tcPr>
            <w:tcW w:w="960" w:type="dxa"/>
            <w:tcBorders>
              <w:top w:val="single" w:sz="4" w:space="0" w:color="7F7F7F"/>
              <w:left w:val="nil"/>
              <w:bottom w:val="single" w:sz="4" w:space="0" w:color="7F7F7F"/>
              <w:right w:val="nil"/>
            </w:tcBorders>
            <w:shd w:val="clear" w:color="000000" w:fill="ECF2F8"/>
            <w:noWrap/>
            <w:vAlign w:val="center"/>
            <w:hideMark/>
          </w:tcPr>
          <w:p w14:paraId="69897BBE"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3 668 </w:t>
            </w:r>
          </w:p>
        </w:tc>
        <w:tc>
          <w:tcPr>
            <w:tcW w:w="960" w:type="dxa"/>
            <w:tcBorders>
              <w:top w:val="single" w:sz="4" w:space="0" w:color="7F7F7F"/>
              <w:left w:val="nil"/>
              <w:bottom w:val="single" w:sz="4" w:space="0" w:color="7F7F7F"/>
              <w:right w:val="nil"/>
            </w:tcBorders>
            <w:shd w:val="clear" w:color="000000" w:fill="ECF2F8"/>
            <w:noWrap/>
            <w:vAlign w:val="center"/>
            <w:hideMark/>
          </w:tcPr>
          <w:p w14:paraId="5A5D247A" w14:textId="77777777" w:rsidR="00FB0548" w:rsidRDefault="00FB0548" w:rsidP="007D6452">
            <w:pPr>
              <w:keepNext/>
              <w:jc w:val="right"/>
              <w:rPr>
                <w:rFonts w:ascii="Arial" w:hAnsi="Arial" w:cs="Arial"/>
                <w:b/>
                <w:bCs/>
                <w:color w:val="000000"/>
                <w:sz w:val="16"/>
                <w:szCs w:val="16"/>
              </w:rPr>
            </w:pPr>
            <w:r>
              <w:rPr>
                <w:rFonts w:ascii="Arial" w:hAnsi="Arial" w:cs="Arial"/>
                <w:b/>
                <w:bCs/>
                <w:color w:val="000000"/>
                <w:sz w:val="16"/>
                <w:szCs w:val="16"/>
              </w:rPr>
              <w:t xml:space="preserve">999 </w:t>
            </w:r>
          </w:p>
        </w:tc>
      </w:tr>
    </w:tbl>
    <w:p w14:paraId="2B3145E2" w14:textId="77777777" w:rsidR="00FB0548" w:rsidRDefault="00FB0548" w:rsidP="00FB0548">
      <w:pPr>
        <w:keepNext/>
        <w:spacing w:line="259" w:lineRule="auto"/>
        <w:jc w:val="center"/>
        <w:rPr>
          <w:rFonts w:ascii="Calibri" w:hAnsi="Calibri" w:cs="Calibri"/>
          <w:bCs/>
          <w:i/>
          <w:iCs/>
          <w:sz w:val="20"/>
          <w:szCs w:val="20"/>
        </w:rPr>
      </w:pPr>
    </w:p>
    <w:p w14:paraId="1C52AA99" w14:textId="77777777" w:rsidR="00FB0548" w:rsidRPr="004160D0" w:rsidRDefault="00FB0548" w:rsidP="00FB0548">
      <w:pPr>
        <w:keepNext/>
        <w:spacing w:line="259" w:lineRule="auto"/>
        <w:jc w:val="center"/>
        <w:rPr>
          <w:rFonts w:ascii="Calibri" w:hAnsi="Calibri" w:cs="Calibri"/>
          <w:bCs/>
          <w:i/>
          <w:iCs/>
          <w:sz w:val="20"/>
          <w:szCs w:val="20"/>
        </w:rPr>
      </w:pPr>
      <w:r w:rsidRPr="003454E6">
        <w:rPr>
          <w:rFonts w:ascii="Calibri" w:hAnsi="Calibri" w:cs="Calibri"/>
          <w:bCs/>
          <w:i/>
          <w:iCs/>
          <w:sz w:val="20"/>
          <w:szCs w:val="20"/>
        </w:rPr>
        <w:t xml:space="preserve">Extrait rapport </w:t>
      </w:r>
      <w:proofErr w:type="spellStart"/>
      <w:r w:rsidRPr="003454E6">
        <w:rPr>
          <w:rFonts w:ascii="Calibri" w:hAnsi="Calibri" w:cs="Calibri"/>
          <w:bCs/>
          <w:i/>
          <w:iCs/>
          <w:sz w:val="20"/>
          <w:szCs w:val="20"/>
        </w:rPr>
        <w:t>Accuracy</w:t>
      </w:r>
      <w:proofErr w:type="spellEnd"/>
      <w:r w:rsidRPr="003454E6">
        <w:rPr>
          <w:rFonts w:ascii="Calibri" w:hAnsi="Calibri" w:cs="Calibri"/>
          <w:bCs/>
          <w:i/>
          <w:iCs/>
          <w:sz w:val="20"/>
          <w:szCs w:val="20"/>
        </w:rPr>
        <w:t xml:space="preserve"> en date du </w:t>
      </w:r>
      <w:r>
        <w:rPr>
          <w:rFonts w:ascii="Calibri" w:hAnsi="Calibri" w:cs="Calibri"/>
          <w:bCs/>
          <w:i/>
          <w:iCs/>
          <w:sz w:val="20"/>
          <w:szCs w:val="20"/>
        </w:rPr>
        <w:t>25</w:t>
      </w:r>
      <w:r w:rsidRPr="003454E6">
        <w:rPr>
          <w:rFonts w:ascii="Calibri" w:hAnsi="Calibri" w:cs="Calibri"/>
          <w:bCs/>
          <w:i/>
          <w:iCs/>
          <w:sz w:val="20"/>
          <w:szCs w:val="20"/>
        </w:rPr>
        <w:t xml:space="preserve"> février 2026</w:t>
      </w:r>
    </w:p>
    <w:p w14:paraId="2A676B9A" w14:textId="77777777" w:rsidR="00FB0548" w:rsidRDefault="00FB0548" w:rsidP="00FB0548">
      <w:pPr>
        <w:spacing w:line="259" w:lineRule="auto"/>
        <w:rPr>
          <w:rFonts w:ascii="Calibri" w:hAnsi="Calibri" w:cs="Calibri"/>
          <w:bCs/>
          <w:sz w:val="22"/>
          <w:szCs w:val="22"/>
        </w:rPr>
      </w:pPr>
    </w:p>
    <w:p w14:paraId="5C97B960" w14:textId="77777777" w:rsidR="00FB0548" w:rsidRDefault="00FB0548" w:rsidP="00FB0548">
      <w:pPr>
        <w:spacing w:line="259" w:lineRule="auto"/>
        <w:jc w:val="both"/>
        <w:rPr>
          <w:rFonts w:ascii="Calibri" w:hAnsi="Calibri" w:cs="Calibri"/>
          <w:bCs/>
          <w:sz w:val="22"/>
          <w:szCs w:val="22"/>
        </w:rPr>
      </w:pPr>
      <w:r>
        <w:rPr>
          <w:rFonts w:ascii="Calibri" w:hAnsi="Calibri" w:cs="Calibri"/>
          <w:bCs/>
          <w:sz w:val="22"/>
          <w:szCs w:val="22"/>
        </w:rPr>
        <w:t>Ainsi, le passif global des 27 structures en redressement judiciaire présentant des plans de redressement par voie de continuation</w:t>
      </w:r>
      <w:r>
        <w:rPr>
          <w:rStyle w:val="Appelnotedebasdep"/>
          <w:rFonts w:ascii="Calibri" w:hAnsi="Calibri" w:cs="Calibri"/>
          <w:bCs/>
          <w:sz w:val="22"/>
          <w:szCs w:val="22"/>
        </w:rPr>
        <w:footnoteReference w:id="2"/>
      </w:r>
      <w:r>
        <w:rPr>
          <w:rFonts w:ascii="Calibri" w:hAnsi="Calibri" w:cs="Calibri"/>
          <w:bCs/>
          <w:sz w:val="22"/>
          <w:szCs w:val="22"/>
        </w:rPr>
        <w:t xml:space="preserve"> </w:t>
      </w:r>
      <w:r w:rsidRPr="007C5279">
        <w:rPr>
          <w:rFonts w:ascii="Calibri" w:hAnsi="Calibri" w:cs="Calibri"/>
          <w:bCs/>
          <w:sz w:val="22"/>
          <w:szCs w:val="22"/>
        </w:rPr>
        <w:t xml:space="preserve">s’élève à </w:t>
      </w:r>
      <w:r w:rsidRPr="007E2D1D">
        <w:rPr>
          <w:rFonts w:ascii="Calibri" w:hAnsi="Calibri"/>
          <w:b/>
          <w:bCs/>
          <w:sz w:val="22"/>
          <w:szCs w:val="22"/>
        </w:rPr>
        <w:t>10</w:t>
      </w:r>
      <w:r>
        <w:rPr>
          <w:rFonts w:ascii="Calibri" w:hAnsi="Calibri"/>
          <w:b/>
          <w:bCs/>
          <w:sz w:val="22"/>
          <w:szCs w:val="22"/>
        </w:rPr>
        <w:t>4 373</w:t>
      </w:r>
      <w:r w:rsidRPr="007E2D1D">
        <w:rPr>
          <w:rFonts w:ascii="Calibri" w:hAnsi="Calibri"/>
          <w:b/>
          <w:bCs/>
          <w:sz w:val="22"/>
          <w:szCs w:val="22"/>
        </w:rPr>
        <w:t>k€</w:t>
      </w:r>
      <w:r w:rsidRPr="007C5279">
        <w:rPr>
          <w:rFonts w:ascii="Calibri" w:hAnsi="Calibri" w:cs="Calibri"/>
          <w:b/>
          <w:sz w:val="22"/>
          <w:szCs w:val="22"/>
        </w:rPr>
        <w:t>.</w:t>
      </w:r>
    </w:p>
    <w:p w14:paraId="43AF8E30" w14:textId="77777777" w:rsidR="00FB0548" w:rsidRDefault="00FB0548" w:rsidP="00FB0548">
      <w:pPr>
        <w:spacing w:line="259" w:lineRule="auto"/>
        <w:jc w:val="both"/>
        <w:rPr>
          <w:rFonts w:ascii="Calibri" w:hAnsi="Calibri" w:cs="Calibri"/>
          <w:bCs/>
          <w:sz w:val="22"/>
          <w:szCs w:val="22"/>
        </w:rPr>
      </w:pPr>
    </w:p>
    <w:p w14:paraId="40EE9A02" w14:textId="77777777" w:rsidR="00FB0548" w:rsidRDefault="00FB0548" w:rsidP="00FB0548">
      <w:pPr>
        <w:spacing w:line="259" w:lineRule="auto"/>
        <w:jc w:val="both"/>
        <w:rPr>
          <w:rFonts w:ascii="Calibri" w:hAnsi="Calibri" w:cs="Calibri"/>
          <w:bCs/>
          <w:sz w:val="22"/>
          <w:szCs w:val="22"/>
        </w:rPr>
      </w:pPr>
      <w:r>
        <w:rPr>
          <w:rFonts w:ascii="Calibri" w:hAnsi="Calibri" w:cs="Calibri"/>
          <w:bCs/>
          <w:sz w:val="22"/>
          <w:szCs w:val="22"/>
        </w:rPr>
        <w:t>Il convient de préciser que les filiales de la société HFI sont débitrices à son égard de 8 668 806 €, suivant les comptes de HFI arrêtés au 31 décembre 2024.</w:t>
      </w:r>
    </w:p>
    <w:p w14:paraId="1C971F03" w14:textId="77777777" w:rsidR="00FB0548" w:rsidRDefault="00FB0548" w:rsidP="00FB0548">
      <w:pPr>
        <w:spacing w:line="259" w:lineRule="auto"/>
        <w:jc w:val="both"/>
        <w:rPr>
          <w:rFonts w:ascii="Calibri" w:hAnsi="Calibri" w:cs="Calibri"/>
          <w:bCs/>
          <w:sz w:val="22"/>
          <w:szCs w:val="22"/>
        </w:rPr>
      </w:pPr>
    </w:p>
    <w:p w14:paraId="6C8D7939" w14:textId="77777777" w:rsidR="00FB0548" w:rsidRDefault="00FB0548" w:rsidP="00FB0548">
      <w:pPr>
        <w:spacing w:line="259" w:lineRule="auto"/>
        <w:jc w:val="both"/>
        <w:rPr>
          <w:rFonts w:ascii="Calibri" w:hAnsi="Calibri" w:cs="Calibri"/>
          <w:bCs/>
          <w:sz w:val="22"/>
          <w:szCs w:val="22"/>
        </w:rPr>
      </w:pPr>
      <w:r>
        <w:rPr>
          <w:rFonts w:ascii="Calibri" w:hAnsi="Calibri" w:cs="Calibri"/>
          <w:bCs/>
          <w:sz w:val="22"/>
          <w:szCs w:val="22"/>
        </w:rPr>
        <w:t>Lesdites sociétés sont en mesure de rembourser ce passif suivant les hypothèses présentées ci-après :</w:t>
      </w:r>
    </w:p>
    <w:p w14:paraId="0A707652" w14:textId="77777777" w:rsidR="00FB0548" w:rsidRDefault="00FB0548" w:rsidP="00FB0548">
      <w:pPr>
        <w:pStyle w:val="Paragraphedeliste"/>
        <w:numPr>
          <w:ilvl w:val="0"/>
          <w:numId w:val="22"/>
        </w:numPr>
        <w:spacing w:before="120" w:line="259" w:lineRule="auto"/>
        <w:ind w:left="714" w:hanging="357"/>
        <w:contextualSpacing w:val="0"/>
        <w:jc w:val="both"/>
        <w:rPr>
          <w:rFonts w:ascii="Calibri" w:hAnsi="Calibri" w:cs="Calibri"/>
          <w:bCs/>
          <w:sz w:val="22"/>
          <w:szCs w:val="22"/>
        </w:rPr>
      </w:pPr>
      <w:r>
        <w:rPr>
          <w:rFonts w:ascii="Calibri" w:hAnsi="Calibri" w:cs="Calibri"/>
          <w:bCs/>
          <w:sz w:val="22"/>
          <w:szCs w:val="22"/>
        </w:rPr>
        <w:t>La cession de certains actifs du Groupe pour un montant global de 71,9m€ lors de la dernière annuité des plans (FY31).</w:t>
      </w:r>
    </w:p>
    <w:p w14:paraId="1777EFF3" w14:textId="77777777" w:rsidR="00FB0548" w:rsidRDefault="00FB0548" w:rsidP="00FB0548">
      <w:pPr>
        <w:pStyle w:val="Paragraphedeliste"/>
        <w:numPr>
          <w:ilvl w:val="0"/>
          <w:numId w:val="22"/>
        </w:numPr>
        <w:spacing w:before="120" w:line="259" w:lineRule="auto"/>
        <w:ind w:left="714" w:hanging="357"/>
        <w:contextualSpacing w:val="0"/>
        <w:jc w:val="both"/>
        <w:rPr>
          <w:rFonts w:ascii="Calibri" w:hAnsi="Calibri" w:cs="Calibri"/>
          <w:bCs/>
          <w:sz w:val="22"/>
          <w:szCs w:val="22"/>
        </w:rPr>
      </w:pPr>
      <w:r>
        <w:rPr>
          <w:rFonts w:ascii="Calibri" w:hAnsi="Calibri" w:cs="Calibri"/>
          <w:bCs/>
          <w:sz w:val="22"/>
          <w:szCs w:val="22"/>
        </w:rPr>
        <w:t>L’obtention de refinancements de certains actifs du Groupe pour un montant global de 7,5m€ lors de la dernière annuité des plans (FY31).</w:t>
      </w:r>
    </w:p>
    <w:p w14:paraId="6F3CEDAE" w14:textId="77777777" w:rsidR="00FB0548" w:rsidRDefault="00FB0548" w:rsidP="00FB0548">
      <w:pPr>
        <w:pStyle w:val="Paragraphedeliste"/>
        <w:numPr>
          <w:ilvl w:val="0"/>
          <w:numId w:val="22"/>
        </w:numPr>
        <w:spacing w:before="120" w:line="259" w:lineRule="auto"/>
        <w:ind w:left="714" w:hanging="357"/>
        <w:contextualSpacing w:val="0"/>
        <w:jc w:val="both"/>
        <w:rPr>
          <w:rFonts w:ascii="Calibri" w:hAnsi="Calibri" w:cs="Calibri"/>
          <w:bCs/>
          <w:sz w:val="22"/>
          <w:szCs w:val="22"/>
        </w:rPr>
      </w:pPr>
      <w:r>
        <w:rPr>
          <w:rFonts w:ascii="Calibri" w:hAnsi="Calibri" w:cs="Calibri"/>
          <w:bCs/>
          <w:sz w:val="22"/>
          <w:szCs w:val="22"/>
        </w:rPr>
        <w:lastRenderedPageBreak/>
        <w:t>La cession d’actifs immobiliers hors périmètre des procédures collectives pour un montant de 8,3m€ et la cession des parts sociales du périmètre Saint-Tropez détenues par la société HFI pour un montant de 5m€.</w:t>
      </w:r>
    </w:p>
    <w:p w14:paraId="0F771317" w14:textId="77777777" w:rsidR="00FB0548" w:rsidRPr="007C5279" w:rsidRDefault="00FB0548" w:rsidP="00FB0548">
      <w:pPr>
        <w:pStyle w:val="Paragraphedeliste"/>
        <w:numPr>
          <w:ilvl w:val="0"/>
          <w:numId w:val="22"/>
        </w:numPr>
        <w:spacing w:before="120" w:line="259" w:lineRule="auto"/>
        <w:ind w:left="714" w:hanging="357"/>
        <w:contextualSpacing w:val="0"/>
        <w:jc w:val="both"/>
        <w:rPr>
          <w:rFonts w:ascii="Calibri" w:hAnsi="Calibri" w:cs="Calibri"/>
          <w:bCs/>
          <w:sz w:val="22"/>
          <w:szCs w:val="22"/>
        </w:rPr>
      </w:pPr>
      <w:r>
        <w:rPr>
          <w:rFonts w:ascii="Calibri" w:hAnsi="Calibri" w:cs="Calibri"/>
          <w:bCs/>
          <w:sz w:val="22"/>
          <w:szCs w:val="22"/>
        </w:rPr>
        <w:t xml:space="preserve">La mise en </w:t>
      </w:r>
      <w:r w:rsidRPr="007C5279">
        <w:rPr>
          <w:rFonts w:ascii="Calibri" w:hAnsi="Calibri" w:cs="Calibri"/>
          <w:bCs/>
          <w:sz w:val="22"/>
          <w:szCs w:val="22"/>
        </w:rPr>
        <w:t>place d’une convention de cash-</w:t>
      </w:r>
      <w:proofErr w:type="spellStart"/>
      <w:r w:rsidRPr="007C5279">
        <w:rPr>
          <w:rFonts w:ascii="Calibri" w:hAnsi="Calibri" w:cs="Calibri"/>
          <w:bCs/>
          <w:sz w:val="22"/>
          <w:szCs w:val="22"/>
        </w:rPr>
        <w:t>pooling</w:t>
      </w:r>
      <w:proofErr w:type="spellEnd"/>
      <w:r w:rsidRPr="007C5279">
        <w:rPr>
          <w:rFonts w:ascii="Calibri" w:hAnsi="Calibri" w:cs="Calibri"/>
          <w:bCs/>
          <w:sz w:val="22"/>
          <w:szCs w:val="22"/>
        </w:rPr>
        <w:t xml:space="preserve"> (</w:t>
      </w:r>
      <w:r w:rsidRPr="007C5279">
        <w:rPr>
          <w:rFonts w:ascii="Calibri" w:hAnsi="Calibri" w:cs="Calibri"/>
          <w:bCs/>
          <w:i/>
          <w:iCs/>
          <w:sz w:val="22"/>
          <w:szCs w:val="22"/>
        </w:rPr>
        <w:t>voir point 8</w:t>
      </w:r>
      <w:r w:rsidRPr="007E2D1D">
        <w:rPr>
          <w:rFonts w:ascii="Calibri" w:hAnsi="Calibri" w:cs="Calibri"/>
          <w:bCs/>
          <w:i/>
          <w:iCs/>
          <w:sz w:val="22"/>
          <w:szCs w:val="22"/>
        </w:rPr>
        <w:t>.4.</w:t>
      </w:r>
      <w:r w:rsidRPr="007E2D1D">
        <w:rPr>
          <w:rFonts w:ascii="Calibri" w:hAnsi="Calibri" w:cs="Calibri"/>
          <w:bCs/>
          <w:sz w:val="22"/>
          <w:szCs w:val="22"/>
        </w:rPr>
        <w:t>)</w:t>
      </w:r>
      <w:r w:rsidRPr="007C5279">
        <w:rPr>
          <w:rFonts w:ascii="Calibri" w:hAnsi="Calibri" w:cs="Calibri"/>
          <w:bCs/>
          <w:sz w:val="22"/>
          <w:szCs w:val="22"/>
        </w:rPr>
        <w:t>.</w:t>
      </w:r>
    </w:p>
    <w:p w14:paraId="66241BF7" w14:textId="77777777" w:rsidR="00FB0548" w:rsidRPr="007C5279" w:rsidRDefault="00FB0548" w:rsidP="00FB0548">
      <w:pPr>
        <w:spacing w:line="259" w:lineRule="auto"/>
        <w:rPr>
          <w:rFonts w:ascii="Calibri" w:hAnsi="Calibri" w:cs="Calibri"/>
          <w:bCs/>
          <w:sz w:val="22"/>
          <w:szCs w:val="22"/>
        </w:rPr>
      </w:pPr>
    </w:p>
    <w:p w14:paraId="1251BEEE" w14:textId="77777777" w:rsidR="00FB0548" w:rsidRDefault="00FB0548" w:rsidP="00FB0548">
      <w:pPr>
        <w:spacing w:line="259" w:lineRule="auto"/>
        <w:jc w:val="both"/>
        <w:rPr>
          <w:rFonts w:ascii="Calibri" w:hAnsi="Calibri" w:cs="Calibri"/>
          <w:bCs/>
          <w:sz w:val="22"/>
          <w:szCs w:val="22"/>
        </w:rPr>
      </w:pPr>
      <w:r w:rsidRPr="007C5279">
        <w:rPr>
          <w:rFonts w:ascii="Calibri" w:hAnsi="Calibri" w:cs="Calibri"/>
          <w:bCs/>
          <w:sz w:val="22"/>
          <w:szCs w:val="22"/>
        </w:rPr>
        <w:t xml:space="preserve">Dans ce contexte, la trésorerie globale des 27 entités présentant un projet de plan de redressement atteindrait </w:t>
      </w:r>
      <w:r>
        <w:rPr>
          <w:rFonts w:ascii="Calibri" w:hAnsi="Calibri" w:cs="Calibri"/>
          <w:bCs/>
          <w:sz w:val="22"/>
          <w:szCs w:val="22"/>
        </w:rPr>
        <w:t>999</w:t>
      </w:r>
      <w:r w:rsidRPr="007E2D1D">
        <w:rPr>
          <w:rFonts w:ascii="Calibri" w:hAnsi="Calibri" w:cs="Calibri"/>
          <w:bCs/>
          <w:sz w:val="22"/>
          <w:szCs w:val="22"/>
        </w:rPr>
        <w:t>k€</w:t>
      </w:r>
      <w:r w:rsidRPr="007C5279">
        <w:rPr>
          <w:rFonts w:ascii="Calibri" w:hAnsi="Calibri" w:cs="Calibri"/>
          <w:bCs/>
          <w:sz w:val="22"/>
          <w:szCs w:val="22"/>
        </w:rPr>
        <w:t xml:space="preserve"> à horizon du plan (mars 2031), post remboursement de l’intégralité du passif objet desdits plans.</w:t>
      </w:r>
    </w:p>
    <w:p w14:paraId="13CE1DCB" w14:textId="77777777" w:rsidR="00CF177A" w:rsidRDefault="00CF177A" w:rsidP="00101246">
      <w:pPr>
        <w:spacing w:line="259" w:lineRule="auto"/>
        <w:rPr>
          <w:rFonts w:ascii="Calibri" w:hAnsi="Calibri" w:cs="Calibri"/>
          <w:bCs/>
          <w:sz w:val="22"/>
          <w:szCs w:val="22"/>
        </w:rPr>
      </w:pPr>
    </w:p>
    <w:p w14:paraId="21B6E25F" w14:textId="55592CD1" w:rsidR="00E11146" w:rsidRDefault="00E11146" w:rsidP="00C11DED">
      <w:pPr>
        <w:pStyle w:val="2MAJ-adresse"/>
        <w:numPr>
          <w:ilvl w:val="1"/>
          <w:numId w:val="9"/>
        </w:numPr>
      </w:pPr>
      <w:r>
        <w:t xml:space="preserve">Mise en place d’une convention de management </w:t>
      </w:r>
      <w:proofErr w:type="spellStart"/>
      <w:r>
        <w:t>fees</w:t>
      </w:r>
      <w:proofErr w:type="spellEnd"/>
    </w:p>
    <w:p w14:paraId="35B574C3" w14:textId="77777777" w:rsidR="00E11146" w:rsidRDefault="00E11146" w:rsidP="00C11DED">
      <w:pPr>
        <w:pStyle w:val="2MAJ-adresse"/>
      </w:pPr>
    </w:p>
    <w:p w14:paraId="1A7CC04E" w14:textId="77777777" w:rsidR="00E72C56" w:rsidRDefault="00E72C56" w:rsidP="00E72C56">
      <w:pPr>
        <w:pStyle w:val="2MAJ-paragraphe"/>
      </w:pPr>
      <w:r>
        <w:t xml:space="preserve">Dans le cadre des projets de plan de redressement des 27 entités du Groupe, une convention de management </w:t>
      </w:r>
      <w:proofErr w:type="spellStart"/>
      <w:r>
        <w:t>fees</w:t>
      </w:r>
      <w:proofErr w:type="spellEnd"/>
      <w:r>
        <w:t xml:space="preserve"> sera mise en place entre la société HFI et ses filiales.</w:t>
      </w:r>
    </w:p>
    <w:p w14:paraId="3EEA2D8E" w14:textId="77777777" w:rsidR="00E72C56" w:rsidRDefault="00E72C56" w:rsidP="00E72C56">
      <w:pPr>
        <w:pStyle w:val="2MAJ-paragraphe"/>
      </w:pPr>
    </w:p>
    <w:p w14:paraId="38E2636C" w14:textId="77777777" w:rsidR="00E72C56" w:rsidRPr="00125F7E" w:rsidRDefault="00E72C56" w:rsidP="00E72C56">
      <w:pPr>
        <w:pStyle w:val="2MAJ-paragraphe"/>
      </w:pPr>
      <w:r w:rsidRPr="00125F7E">
        <w:t xml:space="preserve">Cette convention de </w:t>
      </w:r>
      <w:r>
        <w:t xml:space="preserve">management </w:t>
      </w:r>
      <w:proofErr w:type="spellStart"/>
      <w:r>
        <w:t>fees</w:t>
      </w:r>
      <w:proofErr w:type="spellEnd"/>
      <w:r>
        <w:t xml:space="preserve"> aura</w:t>
      </w:r>
      <w:r w:rsidRPr="00125F7E">
        <w:t xml:space="preserve"> pour objet la </w:t>
      </w:r>
      <w:r w:rsidRPr="00DC528B">
        <w:t xml:space="preserve">refacturation des prestations effectuées par la holding pour le compte des sociétés opérationnelles du Groupe et de certains frais pris en charge par cette dernière pour le compte des bénéficiaires </w:t>
      </w:r>
      <w:r>
        <w:t>(honoraires d’avocats, d’expert-comptable, conseils financiers, expert aux fins de valorisation des actifs immobiliers, frais de personnel de l’unique salarié de la holding), en ce inclus la rémunération de la société Sindy Management plafonnée à 35k€ TTC sur la durée des projets de plan de redressement des sociétés du Groupe HFI (tel que cela était le cas au cours de la période d’observation).</w:t>
      </w:r>
    </w:p>
    <w:p w14:paraId="66AD5D94" w14:textId="77777777" w:rsidR="00E11146" w:rsidRDefault="00E11146" w:rsidP="003459A5">
      <w:pPr>
        <w:pStyle w:val="2MAJ-paragraphe"/>
      </w:pPr>
    </w:p>
    <w:p w14:paraId="0874FFAD" w14:textId="39CFD9F7" w:rsidR="00501437" w:rsidRDefault="00501437" w:rsidP="003459A5">
      <w:pPr>
        <w:pStyle w:val="2MAJ-paragraphe"/>
      </w:pPr>
      <w:r>
        <w:t xml:space="preserve">Concernant la société </w:t>
      </w:r>
      <w:r w:rsidR="007907D4">
        <w:t>SCI Tolbiac</w:t>
      </w:r>
      <w:r>
        <w:t>, le montant</w:t>
      </w:r>
      <w:r w:rsidR="009F5E02">
        <w:t xml:space="preserve"> global </w:t>
      </w:r>
      <w:r w:rsidR="009F5E02" w:rsidRPr="00485A12">
        <w:rPr>
          <w:u w:val="single"/>
        </w:rPr>
        <w:t>maximum</w:t>
      </w:r>
      <w:r w:rsidR="009F5E02">
        <w:t xml:space="preserve"> reversé à la société HFI, au titre de cette convention de management </w:t>
      </w:r>
      <w:proofErr w:type="spellStart"/>
      <w:r w:rsidR="009F5E02">
        <w:t>fees</w:t>
      </w:r>
      <w:proofErr w:type="spellEnd"/>
      <w:r w:rsidR="009F5E02">
        <w:t xml:space="preserve">, sera de </w:t>
      </w:r>
      <w:r w:rsidR="00832865">
        <w:rPr>
          <w:b/>
          <w:bCs/>
        </w:rPr>
        <w:t>2</w:t>
      </w:r>
      <w:r w:rsidR="00A7593B">
        <w:rPr>
          <w:b/>
          <w:bCs/>
        </w:rPr>
        <w:t>5</w:t>
      </w:r>
      <w:r w:rsidR="00564CDF" w:rsidRPr="000B6D9F">
        <w:rPr>
          <w:b/>
          <w:bCs/>
        </w:rPr>
        <w:t>k€</w:t>
      </w:r>
      <w:r w:rsidR="00B314E7" w:rsidRPr="000B6D9F">
        <w:rPr>
          <w:b/>
          <w:bCs/>
        </w:rPr>
        <w:t xml:space="preserve"> TTC</w:t>
      </w:r>
      <w:r w:rsidR="00564CDF" w:rsidRPr="000B6D9F">
        <w:rPr>
          <w:b/>
          <w:bCs/>
        </w:rPr>
        <w:t xml:space="preserve"> sur la durée du plan</w:t>
      </w:r>
      <w:r w:rsidR="00007D46">
        <w:t>, dans les proportions suivantes :</w:t>
      </w:r>
    </w:p>
    <w:p w14:paraId="3BAE0FFD" w14:textId="77777777" w:rsidR="00007D46" w:rsidRDefault="00007D46" w:rsidP="003459A5">
      <w:pPr>
        <w:pStyle w:val="2MAJ-paragraphe"/>
      </w:pPr>
    </w:p>
    <w:tbl>
      <w:tblPr>
        <w:tblStyle w:val="Grilledutableau"/>
        <w:tblW w:w="10473" w:type="dxa"/>
        <w:jc w:val="center"/>
        <w:tblLook w:val="04A0" w:firstRow="1" w:lastRow="0" w:firstColumn="1" w:lastColumn="0" w:noHBand="0" w:noVBand="1"/>
      </w:tblPr>
      <w:tblGrid>
        <w:gridCol w:w="2830"/>
        <w:gridCol w:w="1273"/>
        <w:gridCol w:w="1273"/>
        <w:gridCol w:w="1274"/>
        <w:gridCol w:w="1274"/>
        <w:gridCol w:w="1274"/>
        <w:gridCol w:w="1275"/>
      </w:tblGrid>
      <w:tr w:rsidR="0038654D" w14:paraId="58AE90ED" w14:textId="77777777" w:rsidTr="00427707">
        <w:trPr>
          <w:jc w:val="center"/>
        </w:trPr>
        <w:tc>
          <w:tcPr>
            <w:tcW w:w="2830" w:type="dxa"/>
            <w:shd w:val="clear" w:color="auto" w:fill="FFC000"/>
            <w:vAlign w:val="center"/>
          </w:tcPr>
          <w:p w14:paraId="2D27FF0D" w14:textId="1BE9ACF2" w:rsidR="0038654D" w:rsidRPr="00427707" w:rsidRDefault="00427707" w:rsidP="00C11DED">
            <w:pPr>
              <w:pStyle w:val="2MAJ-adresse"/>
            </w:pPr>
            <w:r w:rsidRPr="00427707">
              <w:t>En k€</w:t>
            </w:r>
          </w:p>
        </w:tc>
        <w:tc>
          <w:tcPr>
            <w:tcW w:w="1273" w:type="dxa"/>
            <w:shd w:val="clear" w:color="auto" w:fill="FFC000"/>
            <w:vAlign w:val="center"/>
          </w:tcPr>
          <w:p w14:paraId="72706A2A" w14:textId="1EA3360F" w:rsidR="0038654D" w:rsidRPr="00427707" w:rsidRDefault="0038654D" w:rsidP="00C11DED">
            <w:pPr>
              <w:pStyle w:val="2MAJ-adresse"/>
            </w:pPr>
            <w:r w:rsidRPr="00427707">
              <w:t>FY27</w:t>
            </w:r>
          </w:p>
        </w:tc>
        <w:tc>
          <w:tcPr>
            <w:tcW w:w="1273" w:type="dxa"/>
            <w:shd w:val="clear" w:color="auto" w:fill="FFC000"/>
            <w:vAlign w:val="center"/>
          </w:tcPr>
          <w:p w14:paraId="5DA5C24B" w14:textId="5E182002" w:rsidR="0038654D" w:rsidRPr="00427707" w:rsidRDefault="0038654D" w:rsidP="00C11DED">
            <w:pPr>
              <w:pStyle w:val="2MAJ-adresse"/>
            </w:pPr>
            <w:r w:rsidRPr="00427707">
              <w:t>FY28</w:t>
            </w:r>
          </w:p>
        </w:tc>
        <w:tc>
          <w:tcPr>
            <w:tcW w:w="1274" w:type="dxa"/>
            <w:shd w:val="clear" w:color="auto" w:fill="FFC000"/>
            <w:vAlign w:val="center"/>
          </w:tcPr>
          <w:p w14:paraId="3B1BACF6" w14:textId="1B078107" w:rsidR="0038654D" w:rsidRPr="00427707" w:rsidRDefault="0038654D" w:rsidP="00C11DED">
            <w:pPr>
              <w:pStyle w:val="2MAJ-adresse"/>
            </w:pPr>
            <w:r w:rsidRPr="00427707">
              <w:t>FY29</w:t>
            </w:r>
          </w:p>
        </w:tc>
        <w:tc>
          <w:tcPr>
            <w:tcW w:w="1274" w:type="dxa"/>
            <w:shd w:val="clear" w:color="auto" w:fill="FFC000"/>
            <w:vAlign w:val="center"/>
          </w:tcPr>
          <w:p w14:paraId="2FC71A8E" w14:textId="61EE8D0C" w:rsidR="0038654D" w:rsidRPr="00427707" w:rsidRDefault="0038654D" w:rsidP="00C11DED">
            <w:pPr>
              <w:pStyle w:val="2MAJ-adresse"/>
            </w:pPr>
            <w:r w:rsidRPr="00427707">
              <w:t>FY30</w:t>
            </w:r>
          </w:p>
        </w:tc>
        <w:tc>
          <w:tcPr>
            <w:tcW w:w="1274" w:type="dxa"/>
            <w:shd w:val="clear" w:color="auto" w:fill="FFC000"/>
            <w:vAlign w:val="center"/>
          </w:tcPr>
          <w:p w14:paraId="0452947A" w14:textId="26920584" w:rsidR="0038654D" w:rsidRPr="00427707" w:rsidRDefault="0038654D" w:rsidP="00C11DED">
            <w:pPr>
              <w:pStyle w:val="2MAJ-adresse"/>
            </w:pPr>
            <w:r w:rsidRPr="00427707">
              <w:t>FY31</w:t>
            </w:r>
          </w:p>
        </w:tc>
        <w:tc>
          <w:tcPr>
            <w:tcW w:w="1275" w:type="dxa"/>
            <w:shd w:val="clear" w:color="auto" w:fill="FFC000"/>
            <w:vAlign w:val="center"/>
          </w:tcPr>
          <w:p w14:paraId="6F16CC75" w14:textId="77371514" w:rsidR="0038654D" w:rsidRPr="00427707" w:rsidRDefault="0038654D" w:rsidP="00C11DED">
            <w:pPr>
              <w:pStyle w:val="2MAJ-adresse"/>
            </w:pPr>
            <w:r w:rsidRPr="00427707">
              <w:t>Total</w:t>
            </w:r>
          </w:p>
        </w:tc>
      </w:tr>
      <w:tr w:rsidR="00632045" w14:paraId="680E844B" w14:textId="77777777" w:rsidTr="00632045">
        <w:trPr>
          <w:jc w:val="center"/>
        </w:trPr>
        <w:tc>
          <w:tcPr>
            <w:tcW w:w="2830" w:type="dxa"/>
            <w:shd w:val="clear" w:color="auto" w:fill="FFC000"/>
            <w:vAlign w:val="center"/>
          </w:tcPr>
          <w:p w14:paraId="3BFAA7A5" w14:textId="5AB72AA4" w:rsidR="00632045" w:rsidRPr="00427707" w:rsidRDefault="00632045" w:rsidP="00632045">
            <w:pPr>
              <w:pStyle w:val="2MAJ-adresse"/>
            </w:pPr>
            <w:r w:rsidRPr="00427707">
              <w:t xml:space="preserve">Management </w:t>
            </w:r>
            <w:proofErr w:type="spellStart"/>
            <w:r w:rsidRPr="00427707">
              <w:t>fees</w:t>
            </w:r>
            <w:proofErr w:type="spellEnd"/>
            <w:r w:rsidRPr="00427707">
              <w:t xml:space="preserve"> refacturés par HFI à la société </w:t>
            </w:r>
            <w:r>
              <w:t>SCI Tolbiac</w:t>
            </w:r>
          </w:p>
        </w:tc>
        <w:tc>
          <w:tcPr>
            <w:tcW w:w="1273" w:type="dxa"/>
            <w:vAlign w:val="center"/>
          </w:tcPr>
          <w:p w14:paraId="19FE2CBA" w14:textId="68157C2F" w:rsidR="00632045" w:rsidRPr="004562AB" w:rsidRDefault="00A7593B" w:rsidP="00632045">
            <w:pPr>
              <w:pStyle w:val="2MAJ-adresse"/>
              <w:rPr>
                <w:b w:val="0"/>
                <w:bCs w:val="0"/>
              </w:rPr>
            </w:pPr>
            <w:r>
              <w:rPr>
                <w:b w:val="0"/>
                <w:bCs w:val="0"/>
              </w:rPr>
              <w:t>5</w:t>
            </w:r>
          </w:p>
        </w:tc>
        <w:tc>
          <w:tcPr>
            <w:tcW w:w="1273" w:type="dxa"/>
            <w:vAlign w:val="center"/>
          </w:tcPr>
          <w:p w14:paraId="47068F7F" w14:textId="0135B575" w:rsidR="00632045" w:rsidRPr="004562AB" w:rsidRDefault="00A7593B" w:rsidP="00632045">
            <w:pPr>
              <w:pStyle w:val="2MAJ-adresse"/>
              <w:rPr>
                <w:b w:val="0"/>
                <w:bCs w:val="0"/>
              </w:rPr>
            </w:pPr>
            <w:r>
              <w:rPr>
                <w:b w:val="0"/>
                <w:bCs w:val="0"/>
              </w:rPr>
              <w:t>5</w:t>
            </w:r>
          </w:p>
        </w:tc>
        <w:tc>
          <w:tcPr>
            <w:tcW w:w="1274" w:type="dxa"/>
            <w:vAlign w:val="center"/>
          </w:tcPr>
          <w:p w14:paraId="61BBD041" w14:textId="15128E00" w:rsidR="00632045" w:rsidRPr="004562AB" w:rsidRDefault="00A7593B" w:rsidP="00632045">
            <w:pPr>
              <w:pStyle w:val="2MAJ-adresse"/>
              <w:rPr>
                <w:b w:val="0"/>
                <w:bCs w:val="0"/>
              </w:rPr>
            </w:pPr>
            <w:r>
              <w:rPr>
                <w:b w:val="0"/>
                <w:bCs w:val="0"/>
              </w:rPr>
              <w:t>5</w:t>
            </w:r>
          </w:p>
        </w:tc>
        <w:tc>
          <w:tcPr>
            <w:tcW w:w="1274" w:type="dxa"/>
            <w:vAlign w:val="center"/>
          </w:tcPr>
          <w:p w14:paraId="7D3134A3" w14:textId="02C7F4A9" w:rsidR="00632045" w:rsidRPr="004562AB" w:rsidRDefault="00A7593B" w:rsidP="00632045">
            <w:pPr>
              <w:pStyle w:val="2MAJ-adresse"/>
              <w:rPr>
                <w:b w:val="0"/>
                <w:bCs w:val="0"/>
              </w:rPr>
            </w:pPr>
            <w:r>
              <w:rPr>
                <w:b w:val="0"/>
                <w:bCs w:val="0"/>
              </w:rPr>
              <w:t>5</w:t>
            </w:r>
          </w:p>
        </w:tc>
        <w:tc>
          <w:tcPr>
            <w:tcW w:w="1274" w:type="dxa"/>
            <w:vAlign w:val="center"/>
          </w:tcPr>
          <w:p w14:paraId="63BD480D" w14:textId="742187F4" w:rsidR="00632045" w:rsidRPr="004562AB" w:rsidRDefault="00A7593B" w:rsidP="00632045">
            <w:pPr>
              <w:pStyle w:val="2MAJ-adresse"/>
              <w:rPr>
                <w:b w:val="0"/>
                <w:bCs w:val="0"/>
              </w:rPr>
            </w:pPr>
            <w:r>
              <w:rPr>
                <w:b w:val="0"/>
                <w:bCs w:val="0"/>
              </w:rPr>
              <w:t>5</w:t>
            </w:r>
          </w:p>
        </w:tc>
        <w:tc>
          <w:tcPr>
            <w:tcW w:w="1275" w:type="dxa"/>
            <w:vAlign w:val="center"/>
          </w:tcPr>
          <w:p w14:paraId="6F81F7DB" w14:textId="7C846221" w:rsidR="00632045" w:rsidRPr="008D219B" w:rsidRDefault="00632045" w:rsidP="00632045">
            <w:pPr>
              <w:pStyle w:val="2MAJ-adresse"/>
            </w:pPr>
            <w:r>
              <w:t>2</w:t>
            </w:r>
            <w:r w:rsidR="00A7593B">
              <w:t>5</w:t>
            </w:r>
          </w:p>
        </w:tc>
      </w:tr>
    </w:tbl>
    <w:p w14:paraId="14C1C47C" w14:textId="77777777" w:rsidR="00007D46" w:rsidRDefault="00007D46" w:rsidP="00C11DED">
      <w:pPr>
        <w:pStyle w:val="2MAJ-adresse"/>
      </w:pPr>
    </w:p>
    <w:p w14:paraId="7A2B38F7" w14:textId="18C69C78" w:rsidR="00427707" w:rsidRPr="00DC528B" w:rsidRDefault="00427707" w:rsidP="003459A5">
      <w:pPr>
        <w:pStyle w:val="2MAJ-paragraphe"/>
      </w:pPr>
      <w:r w:rsidRPr="00DC528B">
        <w:t xml:space="preserve">Il convient de préciser que ces montants sont </w:t>
      </w:r>
      <w:r w:rsidR="002D63AC" w:rsidRPr="00DC528B">
        <w:t>des plafonds</w:t>
      </w:r>
      <w:r w:rsidR="0098535B" w:rsidRPr="00DC528B">
        <w:t xml:space="preserve"> </w:t>
      </w:r>
      <w:r w:rsidR="0024765D" w:rsidRPr="00DC528B">
        <w:t xml:space="preserve">annuels </w:t>
      </w:r>
      <w:r w:rsidR="0098535B" w:rsidRPr="00DC528B">
        <w:t>toutes taxes comprises</w:t>
      </w:r>
      <w:r w:rsidR="0024765D" w:rsidRPr="00DC528B">
        <w:t>, sans possibilité de rattrapage d’une année sur l’autre</w:t>
      </w:r>
      <w:r w:rsidR="002D63AC" w:rsidRPr="00DC528B">
        <w:t>.</w:t>
      </w:r>
    </w:p>
    <w:p w14:paraId="4B0544DC" w14:textId="77777777" w:rsidR="004F36D5" w:rsidRPr="00DC528B" w:rsidRDefault="004F36D5" w:rsidP="003459A5">
      <w:pPr>
        <w:pStyle w:val="2MAJ-paragraphe"/>
      </w:pPr>
    </w:p>
    <w:p w14:paraId="30E0046E" w14:textId="3A01561A" w:rsidR="004F36D5" w:rsidRPr="00DC528B" w:rsidRDefault="004F36D5" w:rsidP="003459A5">
      <w:pPr>
        <w:pStyle w:val="2MAJ-paragraphe"/>
      </w:pPr>
      <w:r w:rsidRPr="00DC528B">
        <w:t xml:space="preserve">Une attestation annuelle sur le fonctionnement de la convention de management </w:t>
      </w:r>
      <w:proofErr w:type="spellStart"/>
      <w:r w:rsidRPr="00DC528B">
        <w:t>fees</w:t>
      </w:r>
      <w:proofErr w:type="spellEnd"/>
      <w:r w:rsidRPr="00DC528B">
        <w:t xml:space="preserve"> sera adressée par l’expert-comptable du Groupe aux commissaires à l’exécution du plan.</w:t>
      </w:r>
    </w:p>
    <w:p w14:paraId="2C0A1550" w14:textId="77777777" w:rsidR="00E11146" w:rsidRPr="00E11146" w:rsidRDefault="00E11146" w:rsidP="003459A5">
      <w:pPr>
        <w:pStyle w:val="2MAJ-paragraphe"/>
      </w:pPr>
    </w:p>
    <w:p w14:paraId="64567B70" w14:textId="09796821" w:rsidR="003E2CD5" w:rsidRPr="00C17AE9" w:rsidRDefault="003E2CD5" w:rsidP="00C11DED">
      <w:pPr>
        <w:pStyle w:val="2MAJ-adresse"/>
        <w:numPr>
          <w:ilvl w:val="1"/>
          <w:numId w:val="9"/>
        </w:numPr>
      </w:pPr>
      <w:r w:rsidRPr="00C17AE9">
        <w:t xml:space="preserve">Mise en place d’une convention de </w:t>
      </w:r>
      <w:r w:rsidR="00BC72A9">
        <w:t>trésorerie (« </w:t>
      </w:r>
      <w:r w:rsidRPr="00C17AE9">
        <w:t xml:space="preserve">cash </w:t>
      </w:r>
      <w:proofErr w:type="spellStart"/>
      <w:r w:rsidRPr="00C17AE9">
        <w:t>pooling</w:t>
      </w:r>
      <w:proofErr w:type="spellEnd"/>
      <w:r w:rsidR="00BC72A9">
        <w:t> »)</w:t>
      </w:r>
      <w:r w:rsidRPr="00C17AE9">
        <w:t xml:space="preserve"> dans le cadre du projet de plan de redressement</w:t>
      </w:r>
    </w:p>
    <w:p w14:paraId="64CA69F4" w14:textId="77777777" w:rsidR="003E2CD5" w:rsidRDefault="003E2CD5" w:rsidP="003459A5">
      <w:pPr>
        <w:pStyle w:val="2MAJ-paragraphe"/>
      </w:pPr>
    </w:p>
    <w:p w14:paraId="28615F69" w14:textId="77777777" w:rsidR="001422D4" w:rsidRDefault="001422D4" w:rsidP="001422D4">
      <w:pPr>
        <w:pStyle w:val="2MAJ-paragraphe"/>
      </w:pPr>
      <w:r>
        <w:t>Dans le cadre des projets de plans de redressement par voie de continuation des sociétés en procédures collectives du Groupe HFI, est envisagée la mise en place d’une convention de trésorerie afin d’optimiser la gestion de la trésorerie des sociétés en procédures collectives et notamment permettre à l’ensemble des entités du Groupe d’apurer l’intégralité de leur passif retenu dans le cadre des projets de plans</w:t>
      </w:r>
    </w:p>
    <w:p w14:paraId="3A96128A" w14:textId="77777777" w:rsidR="001422D4" w:rsidRDefault="001422D4" w:rsidP="001422D4">
      <w:pPr>
        <w:pStyle w:val="2MAJ-paragraphe"/>
      </w:pPr>
    </w:p>
    <w:p w14:paraId="2A521858" w14:textId="77777777" w:rsidR="001422D4" w:rsidRDefault="001422D4" w:rsidP="001422D4">
      <w:pPr>
        <w:pStyle w:val="2MAJ-paragraphe"/>
      </w:pPr>
      <w:r>
        <w:t>Ainsi, les sociétés ayant un besoin de trésorerie seraient alimentées par celles disposant d’un excédent de trésorerie tout en sécurisant la capacité de ces dernières à faire face à leurs propres charges courantes et au respect de leurs plans de redressement</w:t>
      </w:r>
    </w:p>
    <w:p w14:paraId="2A7CA423" w14:textId="77777777" w:rsidR="001422D4" w:rsidRDefault="001422D4" w:rsidP="001422D4">
      <w:pPr>
        <w:pStyle w:val="2MAJ-paragraphe"/>
      </w:pPr>
    </w:p>
    <w:p w14:paraId="0AB1A716" w14:textId="77777777" w:rsidR="001422D4" w:rsidRDefault="001422D4" w:rsidP="001422D4">
      <w:pPr>
        <w:pStyle w:val="2MAJ-paragraphe"/>
      </w:pPr>
      <w:r>
        <w:lastRenderedPageBreak/>
        <w:t>Les principales modalités de cette convention de trésorerie sont les suivantes :</w:t>
      </w:r>
    </w:p>
    <w:p w14:paraId="5C63BEB2" w14:textId="77777777" w:rsidR="001422D4" w:rsidRDefault="001422D4" w:rsidP="001422D4">
      <w:pPr>
        <w:pStyle w:val="2MAJ-paragraphe"/>
        <w:numPr>
          <w:ilvl w:val="0"/>
          <w:numId w:val="32"/>
        </w:numPr>
        <w:spacing w:before="120"/>
        <w:ind w:left="714" w:hanging="357"/>
      </w:pPr>
      <w:r>
        <w:t>Chaque année les sociétés affichant un besoin bénéficient de remontées de trésorerie de la part des sociétés générant un surplus. Ce surplus est défini comme la trésorerie disponible d’une entité après le règlement de son propre dividende de plan.</w:t>
      </w:r>
    </w:p>
    <w:p w14:paraId="7997AC58" w14:textId="77777777" w:rsidR="001422D4" w:rsidRDefault="001422D4" w:rsidP="001422D4">
      <w:pPr>
        <w:pStyle w:val="2MAJ-paragraphe"/>
        <w:numPr>
          <w:ilvl w:val="0"/>
          <w:numId w:val="32"/>
        </w:numPr>
        <w:spacing w:before="120"/>
        <w:ind w:left="714" w:hanging="357"/>
      </w:pPr>
      <w:r>
        <w:t xml:space="preserve">Aucun versement ne peut entraîner un solde de trésorerie inférieur à </w:t>
      </w:r>
      <w:r w:rsidRPr="00CE245D">
        <w:rPr>
          <w:b/>
          <w:bCs/>
        </w:rPr>
        <w:t>20k€</w:t>
      </w:r>
      <w:r>
        <w:t xml:space="preserve">, seuil minimum estimé pour assurer (i.) le financement de l’activité courante de chaque société et (ii.) le règlement du dividende de l’année. </w:t>
      </w:r>
    </w:p>
    <w:p w14:paraId="4ABBAB92" w14:textId="77777777" w:rsidR="001422D4" w:rsidRDefault="001422D4" w:rsidP="001422D4">
      <w:pPr>
        <w:pStyle w:val="2MAJ-paragraphe"/>
        <w:spacing w:before="120"/>
        <w:ind w:left="708"/>
      </w:pPr>
      <w:r>
        <w:t>Le surplus de trésorerie ne pourra être remonté sur les sociétés déficitaires qu’une fois par an, après règlement par les sociétés bénéficiaires du dividende de leur plan. De manière exceptionnelle, dans l’éventualité dans laquelle une société n’aurait pas la capacité de faire face à ses charges courantes, celle-ci pourra bénéficier de remontées de trésorerie trimestrielles de la part des autres sociétés du Groupe, sous réserve que l’ensemble des entités respectent le seuil de trésorerie minimal fixé par la convention de trésorerie permettant notamment à chacune des entités de sécuriser le règlement de la prochaine échéance de plan.</w:t>
      </w:r>
    </w:p>
    <w:p w14:paraId="1CB1E6C5" w14:textId="77777777" w:rsidR="001422D4" w:rsidRDefault="001422D4" w:rsidP="001422D4">
      <w:pPr>
        <w:pStyle w:val="2MAJ-paragraphe"/>
        <w:numPr>
          <w:ilvl w:val="0"/>
          <w:numId w:val="32"/>
        </w:numPr>
        <w:spacing w:before="120"/>
        <w:ind w:left="714" w:hanging="357"/>
      </w:pPr>
      <w:r>
        <w:t>Absence de</w:t>
      </w:r>
      <w:r w:rsidRPr="00DA433E">
        <w:t xml:space="preserve"> rémunération attachée à la convention de </w:t>
      </w:r>
      <w:r>
        <w:t>trésorerie.</w:t>
      </w:r>
    </w:p>
    <w:p w14:paraId="787B87BE" w14:textId="77777777" w:rsidR="0069382E" w:rsidRDefault="0069382E" w:rsidP="0069382E">
      <w:pPr>
        <w:pStyle w:val="2MAJ-paragraphe"/>
        <w:spacing w:before="120"/>
      </w:pPr>
    </w:p>
    <w:p w14:paraId="2AF3088B" w14:textId="77777777" w:rsidR="00396CB5" w:rsidRDefault="00396CB5" w:rsidP="00396CB5">
      <w:pPr>
        <w:pStyle w:val="2MAJ-paragraphe"/>
        <w:keepNext/>
      </w:pPr>
      <w:r>
        <w:t>Le tableau modélisant les besoins et excédents de chaque société du Groupe HFI en procédure collective est reproduit ci-après :</w:t>
      </w:r>
    </w:p>
    <w:p w14:paraId="489B7BCF" w14:textId="77777777" w:rsidR="00396CB5" w:rsidRDefault="00396CB5" w:rsidP="00396CB5">
      <w:pPr>
        <w:pStyle w:val="2MAJ-paragraphe"/>
        <w:keepNext/>
      </w:pPr>
    </w:p>
    <w:tbl>
      <w:tblPr>
        <w:tblW w:w="8222" w:type="dxa"/>
        <w:jc w:val="center"/>
        <w:tblLayout w:type="fixed"/>
        <w:tblCellMar>
          <w:left w:w="70" w:type="dxa"/>
          <w:right w:w="70" w:type="dxa"/>
        </w:tblCellMar>
        <w:tblLook w:val="04A0" w:firstRow="1" w:lastRow="0" w:firstColumn="1" w:lastColumn="0" w:noHBand="0" w:noVBand="1"/>
      </w:tblPr>
      <w:tblGrid>
        <w:gridCol w:w="4304"/>
        <w:gridCol w:w="764"/>
        <w:gridCol w:w="764"/>
        <w:gridCol w:w="764"/>
        <w:gridCol w:w="804"/>
        <w:gridCol w:w="804"/>
        <w:gridCol w:w="18"/>
      </w:tblGrid>
      <w:tr w:rsidR="00396CB5" w:rsidRPr="009A1FFC" w14:paraId="10C6A71B" w14:textId="77777777" w:rsidTr="007D6452">
        <w:trPr>
          <w:trHeight w:val="260"/>
          <w:jc w:val="center"/>
        </w:trPr>
        <w:tc>
          <w:tcPr>
            <w:tcW w:w="8222" w:type="dxa"/>
            <w:gridSpan w:val="7"/>
            <w:tcBorders>
              <w:top w:val="nil"/>
              <w:left w:val="nil"/>
              <w:bottom w:val="nil"/>
              <w:right w:val="nil"/>
            </w:tcBorders>
            <w:noWrap/>
            <w:vAlign w:val="center"/>
            <w:hideMark/>
          </w:tcPr>
          <w:p w14:paraId="0FE9A0B3" w14:textId="77777777" w:rsidR="00396CB5" w:rsidRPr="009A1FFC" w:rsidRDefault="00396CB5" w:rsidP="007D6452">
            <w:pPr>
              <w:keepNext/>
              <w:rPr>
                <w:rFonts w:ascii="Arial" w:hAnsi="Arial" w:cs="Arial"/>
                <w:b/>
                <w:bCs/>
                <w:color w:val="000000"/>
                <w:sz w:val="20"/>
                <w:szCs w:val="20"/>
              </w:rPr>
            </w:pPr>
            <w:r w:rsidRPr="009A1FFC">
              <w:rPr>
                <w:rFonts w:ascii="Arial" w:hAnsi="Arial" w:cs="Arial"/>
                <w:b/>
                <w:bCs/>
                <w:color w:val="000000"/>
                <w:sz w:val="20"/>
                <w:szCs w:val="20"/>
              </w:rPr>
              <w:t>Plan de redressement - (Besoin) / Surplus cumulé par société - Après actionnaires</w:t>
            </w:r>
          </w:p>
        </w:tc>
      </w:tr>
      <w:tr w:rsidR="00396CB5" w:rsidRPr="009A1FFC" w14:paraId="499B0C73" w14:textId="77777777" w:rsidTr="007D6452">
        <w:trPr>
          <w:gridAfter w:val="1"/>
          <w:wAfter w:w="18" w:type="dxa"/>
          <w:trHeight w:val="108"/>
          <w:jc w:val="center"/>
        </w:trPr>
        <w:tc>
          <w:tcPr>
            <w:tcW w:w="4304" w:type="dxa"/>
            <w:tcBorders>
              <w:top w:val="nil"/>
              <w:left w:val="nil"/>
              <w:bottom w:val="nil"/>
              <w:right w:val="nil"/>
            </w:tcBorders>
            <w:noWrap/>
            <w:vAlign w:val="center"/>
            <w:hideMark/>
          </w:tcPr>
          <w:p w14:paraId="30057380"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5C2CD448"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3ED8C5BE"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1D26DFF8" w14:textId="77777777" w:rsidR="00396CB5" w:rsidRPr="009A1FFC" w:rsidRDefault="00396CB5" w:rsidP="007D6452">
            <w:pPr>
              <w:keepNext/>
              <w:rPr>
                <w:sz w:val="20"/>
                <w:szCs w:val="20"/>
              </w:rPr>
            </w:pPr>
          </w:p>
        </w:tc>
        <w:tc>
          <w:tcPr>
            <w:tcW w:w="804" w:type="dxa"/>
            <w:tcBorders>
              <w:top w:val="nil"/>
              <w:left w:val="nil"/>
              <w:bottom w:val="nil"/>
              <w:right w:val="nil"/>
            </w:tcBorders>
            <w:noWrap/>
            <w:vAlign w:val="center"/>
            <w:hideMark/>
          </w:tcPr>
          <w:p w14:paraId="776AEDAE" w14:textId="77777777" w:rsidR="00396CB5" w:rsidRPr="009A1FFC" w:rsidRDefault="00396CB5" w:rsidP="007D6452">
            <w:pPr>
              <w:keepNext/>
              <w:rPr>
                <w:sz w:val="20"/>
                <w:szCs w:val="20"/>
              </w:rPr>
            </w:pPr>
          </w:p>
        </w:tc>
        <w:tc>
          <w:tcPr>
            <w:tcW w:w="804" w:type="dxa"/>
            <w:tcBorders>
              <w:top w:val="nil"/>
              <w:left w:val="nil"/>
              <w:bottom w:val="nil"/>
              <w:right w:val="nil"/>
            </w:tcBorders>
            <w:noWrap/>
            <w:vAlign w:val="center"/>
            <w:hideMark/>
          </w:tcPr>
          <w:p w14:paraId="5C2D1C14" w14:textId="77777777" w:rsidR="00396CB5" w:rsidRPr="009A1FFC" w:rsidRDefault="00396CB5" w:rsidP="007D6452">
            <w:pPr>
              <w:keepNext/>
              <w:rPr>
                <w:sz w:val="20"/>
                <w:szCs w:val="20"/>
              </w:rPr>
            </w:pPr>
          </w:p>
        </w:tc>
      </w:tr>
      <w:tr w:rsidR="00396CB5" w:rsidRPr="009A1FFC" w14:paraId="56BB2015" w14:textId="77777777" w:rsidTr="007D6452">
        <w:trPr>
          <w:gridAfter w:val="1"/>
          <w:wAfter w:w="18" w:type="dxa"/>
          <w:trHeight w:val="210"/>
          <w:jc w:val="center"/>
        </w:trPr>
        <w:tc>
          <w:tcPr>
            <w:tcW w:w="4304" w:type="dxa"/>
            <w:tcBorders>
              <w:top w:val="nil"/>
              <w:left w:val="nil"/>
              <w:bottom w:val="single" w:sz="4" w:space="0" w:color="000000"/>
              <w:right w:val="nil"/>
            </w:tcBorders>
            <w:vAlign w:val="center"/>
            <w:hideMark/>
          </w:tcPr>
          <w:p w14:paraId="5C3961CE" w14:textId="77777777" w:rsidR="00396CB5" w:rsidRPr="009A1FFC" w:rsidRDefault="00396CB5" w:rsidP="007D6452">
            <w:pPr>
              <w:keepNext/>
              <w:rPr>
                <w:rFonts w:ascii="Arial" w:hAnsi="Arial" w:cs="Arial"/>
                <w:b/>
                <w:bCs/>
                <w:color w:val="000000"/>
                <w:sz w:val="16"/>
                <w:szCs w:val="16"/>
              </w:rPr>
            </w:pPr>
            <w:r w:rsidRPr="009A1FFC">
              <w:rPr>
                <w:rFonts w:ascii="Arial" w:hAnsi="Arial" w:cs="Arial"/>
                <w:b/>
                <w:bCs/>
                <w:color w:val="000000"/>
                <w:sz w:val="16"/>
                <w:szCs w:val="16"/>
              </w:rPr>
              <w:t>En k€</w:t>
            </w:r>
          </w:p>
        </w:tc>
        <w:tc>
          <w:tcPr>
            <w:tcW w:w="764" w:type="dxa"/>
            <w:tcBorders>
              <w:top w:val="nil"/>
              <w:left w:val="nil"/>
              <w:bottom w:val="single" w:sz="4" w:space="0" w:color="000000"/>
              <w:right w:val="nil"/>
            </w:tcBorders>
            <w:vAlign w:val="center"/>
            <w:hideMark/>
          </w:tcPr>
          <w:p w14:paraId="206A075C"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FY27</w:t>
            </w:r>
          </w:p>
        </w:tc>
        <w:tc>
          <w:tcPr>
            <w:tcW w:w="764" w:type="dxa"/>
            <w:tcBorders>
              <w:top w:val="nil"/>
              <w:left w:val="nil"/>
              <w:bottom w:val="single" w:sz="4" w:space="0" w:color="000000"/>
              <w:right w:val="nil"/>
            </w:tcBorders>
            <w:vAlign w:val="center"/>
            <w:hideMark/>
          </w:tcPr>
          <w:p w14:paraId="1EA92100"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FY28</w:t>
            </w:r>
          </w:p>
        </w:tc>
        <w:tc>
          <w:tcPr>
            <w:tcW w:w="764" w:type="dxa"/>
            <w:tcBorders>
              <w:top w:val="nil"/>
              <w:left w:val="nil"/>
              <w:bottom w:val="single" w:sz="4" w:space="0" w:color="000000"/>
              <w:right w:val="nil"/>
            </w:tcBorders>
            <w:vAlign w:val="center"/>
            <w:hideMark/>
          </w:tcPr>
          <w:p w14:paraId="5963C8E7"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FY29</w:t>
            </w:r>
          </w:p>
        </w:tc>
        <w:tc>
          <w:tcPr>
            <w:tcW w:w="804" w:type="dxa"/>
            <w:tcBorders>
              <w:top w:val="nil"/>
              <w:left w:val="nil"/>
              <w:bottom w:val="single" w:sz="4" w:space="0" w:color="000000"/>
              <w:right w:val="nil"/>
            </w:tcBorders>
            <w:vAlign w:val="center"/>
            <w:hideMark/>
          </w:tcPr>
          <w:p w14:paraId="641F1FD4"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FY30</w:t>
            </w:r>
          </w:p>
        </w:tc>
        <w:tc>
          <w:tcPr>
            <w:tcW w:w="804" w:type="dxa"/>
            <w:tcBorders>
              <w:top w:val="nil"/>
              <w:left w:val="nil"/>
              <w:bottom w:val="single" w:sz="4" w:space="0" w:color="000000"/>
              <w:right w:val="nil"/>
            </w:tcBorders>
            <w:vAlign w:val="center"/>
            <w:hideMark/>
          </w:tcPr>
          <w:p w14:paraId="19150706"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FY31</w:t>
            </w:r>
          </w:p>
        </w:tc>
      </w:tr>
      <w:tr w:rsidR="00396CB5" w:rsidRPr="009A1FFC" w14:paraId="142A2315" w14:textId="77777777" w:rsidTr="007D6452">
        <w:trPr>
          <w:gridAfter w:val="1"/>
          <w:wAfter w:w="18" w:type="dxa"/>
          <w:trHeight w:val="225"/>
          <w:jc w:val="center"/>
        </w:trPr>
        <w:tc>
          <w:tcPr>
            <w:tcW w:w="4304" w:type="dxa"/>
            <w:tcBorders>
              <w:top w:val="nil"/>
              <w:left w:val="nil"/>
              <w:bottom w:val="nil"/>
              <w:right w:val="nil"/>
            </w:tcBorders>
            <w:vAlign w:val="center"/>
            <w:hideMark/>
          </w:tcPr>
          <w:p w14:paraId="63CABA97" w14:textId="77777777" w:rsidR="00396CB5" w:rsidRPr="009A1FFC" w:rsidRDefault="00396CB5" w:rsidP="007D6452">
            <w:pPr>
              <w:keepNext/>
              <w:jc w:val="right"/>
              <w:rPr>
                <w:rFonts w:ascii="Arial" w:hAnsi="Arial" w:cs="Arial"/>
                <w:b/>
                <w:bCs/>
                <w:color w:val="000000"/>
                <w:sz w:val="16"/>
                <w:szCs w:val="16"/>
              </w:rPr>
            </w:pPr>
          </w:p>
        </w:tc>
        <w:tc>
          <w:tcPr>
            <w:tcW w:w="764" w:type="dxa"/>
            <w:tcBorders>
              <w:top w:val="nil"/>
              <w:left w:val="nil"/>
              <w:bottom w:val="nil"/>
              <w:right w:val="nil"/>
            </w:tcBorders>
            <w:vAlign w:val="center"/>
            <w:hideMark/>
          </w:tcPr>
          <w:p w14:paraId="73652172" w14:textId="77777777" w:rsidR="00396CB5" w:rsidRPr="009A1FFC" w:rsidRDefault="00396CB5" w:rsidP="007D6452">
            <w:pPr>
              <w:keepNext/>
              <w:jc w:val="right"/>
              <w:rPr>
                <w:rFonts w:ascii="Arial" w:hAnsi="Arial" w:cs="Arial"/>
                <w:i/>
                <w:iCs/>
                <w:color w:val="000000"/>
                <w:sz w:val="16"/>
                <w:szCs w:val="16"/>
              </w:rPr>
            </w:pPr>
            <w:r w:rsidRPr="009A1FFC">
              <w:rPr>
                <w:rFonts w:ascii="Arial" w:hAnsi="Arial" w:cs="Arial"/>
                <w:i/>
                <w:iCs/>
                <w:color w:val="000000"/>
                <w:sz w:val="16"/>
                <w:szCs w:val="16"/>
              </w:rPr>
              <w:t>12 mois</w:t>
            </w:r>
          </w:p>
        </w:tc>
        <w:tc>
          <w:tcPr>
            <w:tcW w:w="764" w:type="dxa"/>
            <w:tcBorders>
              <w:top w:val="nil"/>
              <w:left w:val="nil"/>
              <w:bottom w:val="nil"/>
              <w:right w:val="nil"/>
            </w:tcBorders>
            <w:vAlign w:val="center"/>
            <w:hideMark/>
          </w:tcPr>
          <w:p w14:paraId="09C11684" w14:textId="77777777" w:rsidR="00396CB5" w:rsidRPr="009A1FFC" w:rsidRDefault="00396CB5" w:rsidP="007D6452">
            <w:pPr>
              <w:keepNext/>
              <w:jc w:val="right"/>
              <w:rPr>
                <w:rFonts w:ascii="Arial" w:hAnsi="Arial" w:cs="Arial"/>
                <w:i/>
                <w:iCs/>
                <w:color w:val="000000"/>
                <w:sz w:val="16"/>
                <w:szCs w:val="16"/>
              </w:rPr>
            </w:pPr>
            <w:r w:rsidRPr="009A1FFC">
              <w:rPr>
                <w:rFonts w:ascii="Arial" w:hAnsi="Arial" w:cs="Arial"/>
                <w:i/>
                <w:iCs/>
                <w:color w:val="000000"/>
                <w:sz w:val="16"/>
                <w:szCs w:val="16"/>
              </w:rPr>
              <w:t>12 mois</w:t>
            </w:r>
          </w:p>
        </w:tc>
        <w:tc>
          <w:tcPr>
            <w:tcW w:w="764" w:type="dxa"/>
            <w:tcBorders>
              <w:top w:val="nil"/>
              <w:left w:val="nil"/>
              <w:bottom w:val="nil"/>
              <w:right w:val="nil"/>
            </w:tcBorders>
            <w:vAlign w:val="center"/>
            <w:hideMark/>
          </w:tcPr>
          <w:p w14:paraId="4F89826B" w14:textId="77777777" w:rsidR="00396CB5" w:rsidRPr="009A1FFC" w:rsidRDefault="00396CB5" w:rsidP="007D6452">
            <w:pPr>
              <w:keepNext/>
              <w:jc w:val="right"/>
              <w:rPr>
                <w:rFonts w:ascii="Arial" w:hAnsi="Arial" w:cs="Arial"/>
                <w:i/>
                <w:iCs/>
                <w:color w:val="000000"/>
                <w:sz w:val="16"/>
                <w:szCs w:val="16"/>
              </w:rPr>
            </w:pPr>
            <w:r w:rsidRPr="009A1FFC">
              <w:rPr>
                <w:rFonts w:ascii="Arial" w:hAnsi="Arial" w:cs="Arial"/>
                <w:i/>
                <w:iCs/>
                <w:color w:val="000000"/>
                <w:sz w:val="16"/>
                <w:szCs w:val="16"/>
              </w:rPr>
              <w:t>12 mois</w:t>
            </w:r>
          </w:p>
        </w:tc>
        <w:tc>
          <w:tcPr>
            <w:tcW w:w="804" w:type="dxa"/>
            <w:tcBorders>
              <w:top w:val="nil"/>
              <w:left w:val="nil"/>
              <w:bottom w:val="nil"/>
              <w:right w:val="nil"/>
            </w:tcBorders>
            <w:vAlign w:val="center"/>
            <w:hideMark/>
          </w:tcPr>
          <w:p w14:paraId="695D331D" w14:textId="77777777" w:rsidR="00396CB5" w:rsidRPr="009A1FFC" w:rsidRDefault="00396CB5" w:rsidP="007D6452">
            <w:pPr>
              <w:keepNext/>
              <w:jc w:val="right"/>
              <w:rPr>
                <w:rFonts w:ascii="Arial" w:hAnsi="Arial" w:cs="Arial"/>
                <w:i/>
                <w:iCs/>
                <w:color w:val="000000"/>
                <w:sz w:val="16"/>
                <w:szCs w:val="16"/>
              </w:rPr>
            </w:pPr>
            <w:r w:rsidRPr="009A1FFC">
              <w:rPr>
                <w:rFonts w:ascii="Arial" w:hAnsi="Arial" w:cs="Arial"/>
                <w:i/>
                <w:iCs/>
                <w:color w:val="000000"/>
                <w:sz w:val="16"/>
                <w:szCs w:val="16"/>
              </w:rPr>
              <w:t>12 mois</w:t>
            </w:r>
          </w:p>
        </w:tc>
        <w:tc>
          <w:tcPr>
            <w:tcW w:w="804" w:type="dxa"/>
            <w:tcBorders>
              <w:top w:val="nil"/>
              <w:left w:val="nil"/>
              <w:bottom w:val="nil"/>
              <w:right w:val="nil"/>
            </w:tcBorders>
            <w:vAlign w:val="center"/>
            <w:hideMark/>
          </w:tcPr>
          <w:p w14:paraId="377EBD1F" w14:textId="77777777" w:rsidR="00396CB5" w:rsidRPr="009A1FFC" w:rsidRDefault="00396CB5" w:rsidP="007D6452">
            <w:pPr>
              <w:keepNext/>
              <w:jc w:val="right"/>
              <w:rPr>
                <w:rFonts w:ascii="Arial" w:hAnsi="Arial" w:cs="Arial"/>
                <w:i/>
                <w:iCs/>
                <w:color w:val="000000"/>
                <w:sz w:val="16"/>
                <w:szCs w:val="16"/>
              </w:rPr>
            </w:pPr>
            <w:r w:rsidRPr="009A1FFC">
              <w:rPr>
                <w:rFonts w:ascii="Arial" w:hAnsi="Arial" w:cs="Arial"/>
                <w:i/>
                <w:iCs/>
                <w:color w:val="000000"/>
                <w:sz w:val="16"/>
                <w:szCs w:val="16"/>
              </w:rPr>
              <w:t>12 mois</w:t>
            </w:r>
          </w:p>
        </w:tc>
      </w:tr>
      <w:tr w:rsidR="00396CB5" w:rsidRPr="009A1FFC" w14:paraId="15AB3BB2" w14:textId="77777777" w:rsidTr="007D6452">
        <w:trPr>
          <w:gridAfter w:val="1"/>
          <w:wAfter w:w="18" w:type="dxa"/>
          <w:trHeight w:val="108"/>
          <w:jc w:val="center"/>
        </w:trPr>
        <w:tc>
          <w:tcPr>
            <w:tcW w:w="4304" w:type="dxa"/>
            <w:tcBorders>
              <w:top w:val="nil"/>
              <w:left w:val="nil"/>
              <w:bottom w:val="nil"/>
              <w:right w:val="nil"/>
            </w:tcBorders>
            <w:noWrap/>
            <w:vAlign w:val="center"/>
            <w:hideMark/>
          </w:tcPr>
          <w:p w14:paraId="2F90A7C9" w14:textId="77777777" w:rsidR="00396CB5" w:rsidRPr="009A1FFC" w:rsidRDefault="00396CB5" w:rsidP="007D6452">
            <w:pPr>
              <w:keepNext/>
              <w:jc w:val="right"/>
              <w:rPr>
                <w:rFonts w:ascii="Arial" w:hAnsi="Arial" w:cs="Arial"/>
                <w:i/>
                <w:iCs/>
                <w:color w:val="000000"/>
                <w:sz w:val="16"/>
                <w:szCs w:val="16"/>
              </w:rPr>
            </w:pPr>
          </w:p>
        </w:tc>
        <w:tc>
          <w:tcPr>
            <w:tcW w:w="764" w:type="dxa"/>
            <w:tcBorders>
              <w:top w:val="nil"/>
              <w:left w:val="nil"/>
              <w:bottom w:val="nil"/>
              <w:right w:val="nil"/>
            </w:tcBorders>
            <w:noWrap/>
            <w:vAlign w:val="center"/>
            <w:hideMark/>
          </w:tcPr>
          <w:p w14:paraId="5B81849D"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12C95687"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51092433" w14:textId="77777777" w:rsidR="00396CB5" w:rsidRPr="009A1FFC" w:rsidRDefault="00396CB5" w:rsidP="007D6452">
            <w:pPr>
              <w:keepNext/>
              <w:jc w:val="right"/>
              <w:rPr>
                <w:sz w:val="20"/>
                <w:szCs w:val="20"/>
              </w:rPr>
            </w:pPr>
          </w:p>
        </w:tc>
        <w:tc>
          <w:tcPr>
            <w:tcW w:w="804" w:type="dxa"/>
            <w:tcBorders>
              <w:top w:val="nil"/>
              <w:left w:val="nil"/>
              <w:bottom w:val="nil"/>
              <w:right w:val="nil"/>
            </w:tcBorders>
            <w:noWrap/>
            <w:vAlign w:val="center"/>
            <w:hideMark/>
          </w:tcPr>
          <w:p w14:paraId="66BEAA57" w14:textId="77777777" w:rsidR="00396CB5" w:rsidRPr="009A1FFC" w:rsidRDefault="00396CB5" w:rsidP="007D6452">
            <w:pPr>
              <w:keepNext/>
              <w:jc w:val="right"/>
              <w:rPr>
                <w:sz w:val="20"/>
                <w:szCs w:val="20"/>
              </w:rPr>
            </w:pPr>
          </w:p>
        </w:tc>
        <w:tc>
          <w:tcPr>
            <w:tcW w:w="804" w:type="dxa"/>
            <w:tcBorders>
              <w:top w:val="nil"/>
              <w:left w:val="nil"/>
              <w:bottom w:val="nil"/>
              <w:right w:val="nil"/>
            </w:tcBorders>
            <w:noWrap/>
            <w:vAlign w:val="center"/>
            <w:hideMark/>
          </w:tcPr>
          <w:p w14:paraId="3B99C870" w14:textId="77777777" w:rsidR="00396CB5" w:rsidRPr="009A1FFC" w:rsidRDefault="00396CB5" w:rsidP="007D6452">
            <w:pPr>
              <w:keepNext/>
              <w:jc w:val="right"/>
              <w:rPr>
                <w:sz w:val="20"/>
                <w:szCs w:val="20"/>
              </w:rPr>
            </w:pPr>
          </w:p>
        </w:tc>
      </w:tr>
      <w:tr w:rsidR="00396CB5" w:rsidRPr="009A1FFC" w14:paraId="515D34B4" w14:textId="77777777" w:rsidTr="007D6452">
        <w:trPr>
          <w:gridAfter w:val="1"/>
          <w:wAfter w:w="18" w:type="dxa"/>
          <w:trHeight w:val="210"/>
          <w:jc w:val="center"/>
        </w:trPr>
        <w:tc>
          <w:tcPr>
            <w:tcW w:w="4304" w:type="dxa"/>
            <w:tcBorders>
              <w:top w:val="nil"/>
              <w:left w:val="nil"/>
              <w:bottom w:val="nil"/>
              <w:right w:val="nil"/>
            </w:tcBorders>
            <w:noWrap/>
            <w:vAlign w:val="center"/>
            <w:hideMark/>
          </w:tcPr>
          <w:p w14:paraId="651DC852"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Holding Foncière de l'Immobilier</w:t>
            </w:r>
          </w:p>
        </w:tc>
        <w:tc>
          <w:tcPr>
            <w:tcW w:w="764" w:type="dxa"/>
            <w:tcBorders>
              <w:top w:val="nil"/>
              <w:left w:val="nil"/>
              <w:bottom w:val="nil"/>
              <w:right w:val="nil"/>
            </w:tcBorders>
            <w:noWrap/>
            <w:vAlign w:val="center"/>
            <w:hideMark/>
          </w:tcPr>
          <w:p w14:paraId="429AD585"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3 433 </w:t>
            </w:r>
          </w:p>
        </w:tc>
        <w:tc>
          <w:tcPr>
            <w:tcW w:w="764" w:type="dxa"/>
            <w:tcBorders>
              <w:top w:val="nil"/>
              <w:left w:val="nil"/>
              <w:bottom w:val="nil"/>
              <w:right w:val="nil"/>
            </w:tcBorders>
            <w:noWrap/>
            <w:vAlign w:val="center"/>
            <w:hideMark/>
          </w:tcPr>
          <w:p w14:paraId="48FE201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3 913 </w:t>
            </w:r>
          </w:p>
        </w:tc>
        <w:tc>
          <w:tcPr>
            <w:tcW w:w="764" w:type="dxa"/>
            <w:tcBorders>
              <w:top w:val="nil"/>
              <w:left w:val="nil"/>
              <w:bottom w:val="nil"/>
              <w:right w:val="nil"/>
            </w:tcBorders>
            <w:noWrap/>
            <w:vAlign w:val="center"/>
            <w:hideMark/>
          </w:tcPr>
          <w:p w14:paraId="5821E4D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3 403 </w:t>
            </w:r>
          </w:p>
        </w:tc>
        <w:tc>
          <w:tcPr>
            <w:tcW w:w="804" w:type="dxa"/>
            <w:tcBorders>
              <w:top w:val="nil"/>
              <w:left w:val="nil"/>
              <w:bottom w:val="nil"/>
              <w:right w:val="nil"/>
            </w:tcBorders>
            <w:noWrap/>
            <w:vAlign w:val="center"/>
            <w:hideMark/>
          </w:tcPr>
          <w:p w14:paraId="27555883"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2 899 </w:t>
            </w:r>
          </w:p>
        </w:tc>
        <w:tc>
          <w:tcPr>
            <w:tcW w:w="804" w:type="dxa"/>
            <w:tcBorders>
              <w:top w:val="nil"/>
              <w:left w:val="nil"/>
              <w:bottom w:val="nil"/>
              <w:right w:val="nil"/>
            </w:tcBorders>
            <w:noWrap/>
            <w:vAlign w:val="center"/>
            <w:hideMark/>
          </w:tcPr>
          <w:p w14:paraId="103160D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3 557 </w:t>
            </w:r>
          </w:p>
        </w:tc>
      </w:tr>
      <w:tr w:rsidR="00396CB5" w:rsidRPr="009A1FFC" w14:paraId="2FCB6E9D"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FBBCF5A"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Albert Thomas</w:t>
            </w:r>
          </w:p>
        </w:tc>
        <w:tc>
          <w:tcPr>
            <w:tcW w:w="764" w:type="dxa"/>
            <w:tcBorders>
              <w:top w:val="nil"/>
              <w:left w:val="nil"/>
              <w:bottom w:val="nil"/>
              <w:right w:val="nil"/>
            </w:tcBorders>
            <w:noWrap/>
            <w:vAlign w:val="center"/>
            <w:hideMark/>
          </w:tcPr>
          <w:p w14:paraId="630EBA7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112 </w:t>
            </w:r>
          </w:p>
        </w:tc>
        <w:tc>
          <w:tcPr>
            <w:tcW w:w="764" w:type="dxa"/>
            <w:tcBorders>
              <w:top w:val="nil"/>
              <w:left w:val="nil"/>
              <w:bottom w:val="nil"/>
              <w:right w:val="nil"/>
            </w:tcBorders>
            <w:noWrap/>
            <w:vAlign w:val="center"/>
            <w:hideMark/>
          </w:tcPr>
          <w:p w14:paraId="471429FE"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341 </w:t>
            </w:r>
          </w:p>
        </w:tc>
        <w:tc>
          <w:tcPr>
            <w:tcW w:w="764" w:type="dxa"/>
            <w:tcBorders>
              <w:top w:val="nil"/>
              <w:left w:val="nil"/>
              <w:bottom w:val="nil"/>
              <w:right w:val="nil"/>
            </w:tcBorders>
            <w:noWrap/>
            <w:vAlign w:val="center"/>
            <w:hideMark/>
          </w:tcPr>
          <w:p w14:paraId="6B9BC90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351 </w:t>
            </w:r>
          </w:p>
        </w:tc>
        <w:tc>
          <w:tcPr>
            <w:tcW w:w="804" w:type="dxa"/>
            <w:tcBorders>
              <w:top w:val="nil"/>
              <w:left w:val="nil"/>
              <w:bottom w:val="nil"/>
              <w:right w:val="nil"/>
            </w:tcBorders>
            <w:noWrap/>
            <w:vAlign w:val="center"/>
            <w:hideMark/>
          </w:tcPr>
          <w:p w14:paraId="527C87AE"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370 </w:t>
            </w:r>
          </w:p>
        </w:tc>
        <w:tc>
          <w:tcPr>
            <w:tcW w:w="804" w:type="dxa"/>
            <w:tcBorders>
              <w:top w:val="nil"/>
              <w:left w:val="nil"/>
              <w:bottom w:val="nil"/>
              <w:right w:val="nil"/>
            </w:tcBorders>
            <w:shd w:val="clear" w:color="000000" w:fill="FFC7CE"/>
            <w:noWrap/>
            <w:vAlign w:val="center"/>
            <w:hideMark/>
          </w:tcPr>
          <w:p w14:paraId="0E6E1294"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(0)</w:t>
            </w:r>
          </w:p>
        </w:tc>
      </w:tr>
      <w:tr w:rsidR="00396CB5" w:rsidRPr="009A1FFC" w14:paraId="4A7C60E7"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A5F5561"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de Shery</w:t>
            </w:r>
          </w:p>
        </w:tc>
        <w:tc>
          <w:tcPr>
            <w:tcW w:w="764" w:type="dxa"/>
            <w:tcBorders>
              <w:top w:val="nil"/>
              <w:left w:val="nil"/>
              <w:bottom w:val="nil"/>
              <w:right w:val="nil"/>
            </w:tcBorders>
            <w:shd w:val="clear" w:color="000000" w:fill="FFC7CE"/>
            <w:noWrap/>
            <w:vAlign w:val="center"/>
            <w:hideMark/>
          </w:tcPr>
          <w:p w14:paraId="265B23A3"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(206)</w:t>
            </w:r>
          </w:p>
        </w:tc>
        <w:tc>
          <w:tcPr>
            <w:tcW w:w="764" w:type="dxa"/>
            <w:tcBorders>
              <w:top w:val="nil"/>
              <w:left w:val="nil"/>
              <w:bottom w:val="nil"/>
              <w:right w:val="nil"/>
            </w:tcBorders>
            <w:shd w:val="clear" w:color="000000" w:fill="FFC7CE"/>
            <w:noWrap/>
            <w:vAlign w:val="center"/>
            <w:hideMark/>
          </w:tcPr>
          <w:p w14:paraId="1172DCF0"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(185)</w:t>
            </w:r>
          </w:p>
        </w:tc>
        <w:tc>
          <w:tcPr>
            <w:tcW w:w="764" w:type="dxa"/>
            <w:tcBorders>
              <w:top w:val="nil"/>
              <w:left w:val="nil"/>
              <w:bottom w:val="nil"/>
              <w:right w:val="nil"/>
            </w:tcBorders>
            <w:shd w:val="clear" w:color="000000" w:fill="FFC7CE"/>
            <w:noWrap/>
            <w:vAlign w:val="center"/>
            <w:hideMark/>
          </w:tcPr>
          <w:p w14:paraId="7E92A9EB"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(606)</w:t>
            </w:r>
          </w:p>
        </w:tc>
        <w:tc>
          <w:tcPr>
            <w:tcW w:w="804" w:type="dxa"/>
            <w:tcBorders>
              <w:top w:val="nil"/>
              <w:left w:val="nil"/>
              <w:bottom w:val="nil"/>
              <w:right w:val="nil"/>
            </w:tcBorders>
            <w:shd w:val="clear" w:color="000000" w:fill="FFC7CE"/>
            <w:noWrap/>
            <w:vAlign w:val="center"/>
            <w:hideMark/>
          </w:tcPr>
          <w:p w14:paraId="5B8D8831"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(1 003)</w:t>
            </w:r>
          </w:p>
        </w:tc>
        <w:tc>
          <w:tcPr>
            <w:tcW w:w="804" w:type="dxa"/>
            <w:tcBorders>
              <w:top w:val="nil"/>
              <w:left w:val="nil"/>
              <w:bottom w:val="nil"/>
              <w:right w:val="nil"/>
            </w:tcBorders>
            <w:noWrap/>
            <w:vAlign w:val="center"/>
            <w:hideMark/>
          </w:tcPr>
          <w:p w14:paraId="5FAEA853"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1 736 </w:t>
            </w:r>
          </w:p>
        </w:tc>
      </w:tr>
      <w:tr w:rsidR="00396CB5" w:rsidRPr="009A1FFC" w14:paraId="4B326F08"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09E5536" w14:textId="77777777" w:rsidR="00396CB5" w:rsidRPr="009A1FFC" w:rsidRDefault="00396CB5" w:rsidP="007D6452">
            <w:pPr>
              <w:keepNext/>
              <w:ind w:firstLineChars="100" w:firstLine="160"/>
              <w:rPr>
                <w:rFonts w:ascii="Arial" w:hAnsi="Arial" w:cs="Arial"/>
                <w:i/>
                <w:iCs/>
                <w:sz w:val="16"/>
                <w:szCs w:val="16"/>
              </w:rPr>
            </w:pPr>
            <w:r w:rsidRPr="009A1FFC">
              <w:rPr>
                <w:rFonts w:ascii="Arial" w:hAnsi="Arial" w:cs="Arial"/>
                <w:i/>
                <w:iCs/>
                <w:sz w:val="16"/>
                <w:szCs w:val="16"/>
              </w:rPr>
              <w:t>SAS Foncière Roquette (Holding de SIMAME)</w:t>
            </w:r>
          </w:p>
        </w:tc>
        <w:tc>
          <w:tcPr>
            <w:tcW w:w="764" w:type="dxa"/>
            <w:tcBorders>
              <w:top w:val="nil"/>
              <w:left w:val="nil"/>
              <w:bottom w:val="nil"/>
              <w:right w:val="nil"/>
            </w:tcBorders>
            <w:shd w:val="clear" w:color="000000" w:fill="FFC7CE"/>
            <w:noWrap/>
            <w:vAlign w:val="center"/>
            <w:hideMark/>
          </w:tcPr>
          <w:p w14:paraId="7537C38B"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(14)</w:t>
            </w:r>
          </w:p>
        </w:tc>
        <w:tc>
          <w:tcPr>
            <w:tcW w:w="764" w:type="dxa"/>
            <w:tcBorders>
              <w:top w:val="nil"/>
              <w:left w:val="nil"/>
              <w:bottom w:val="nil"/>
              <w:right w:val="nil"/>
            </w:tcBorders>
            <w:shd w:val="clear" w:color="000000" w:fill="FFC7CE"/>
            <w:noWrap/>
            <w:vAlign w:val="center"/>
            <w:hideMark/>
          </w:tcPr>
          <w:p w14:paraId="77559DE9"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(24)</w:t>
            </w:r>
          </w:p>
        </w:tc>
        <w:tc>
          <w:tcPr>
            <w:tcW w:w="764" w:type="dxa"/>
            <w:tcBorders>
              <w:top w:val="nil"/>
              <w:left w:val="nil"/>
              <w:bottom w:val="nil"/>
              <w:right w:val="nil"/>
            </w:tcBorders>
            <w:shd w:val="clear" w:color="000000" w:fill="FFC7CE"/>
            <w:noWrap/>
            <w:vAlign w:val="center"/>
            <w:hideMark/>
          </w:tcPr>
          <w:p w14:paraId="2A97DB92"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(38)</w:t>
            </w:r>
          </w:p>
        </w:tc>
        <w:tc>
          <w:tcPr>
            <w:tcW w:w="804" w:type="dxa"/>
            <w:tcBorders>
              <w:top w:val="nil"/>
              <w:left w:val="nil"/>
              <w:bottom w:val="nil"/>
              <w:right w:val="nil"/>
            </w:tcBorders>
            <w:shd w:val="clear" w:color="000000" w:fill="FFC7CE"/>
            <w:noWrap/>
            <w:vAlign w:val="center"/>
            <w:hideMark/>
          </w:tcPr>
          <w:p w14:paraId="1ECF477C"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(51)</w:t>
            </w:r>
          </w:p>
        </w:tc>
        <w:tc>
          <w:tcPr>
            <w:tcW w:w="804" w:type="dxa"/>
            <w:tcBorders>
              <w:top w:val="nil"/>
              <w:left w:val="nil"/>
              <w:bottom w:val="nil"/>
              <w:right w:val="nil"/>
            </w:tcBorders>
            <w:shd w:val="clear" w:color="000000" w:fill="FFC7CE"/>
            <w:noWrap/>
            <w:vAlign w:val="center"/>
            <w:hideMark/>
          </w:tcPr>
          <w:p w14:paraId="10F6128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(127)</w:t>
            </w:r>
          </w:p>
        </w:tc>
      </w:tr>
      <w:tr w:rsidR="00396CB5" w:rsidRPr="009A1FFC" w14:paraId="00247068"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8DA6E81" w14:textId="77777777" w:rsidR="00396CB5" w:rsidRPr="009A1FFC" w:rsidRDefault="00396CB5" w:rsidP="007D6452">
            <w:pPr>
              <w:keepNext/>
              <w:ind w:firstLineChars="100" w:firstLine="160"/>
              <w:rPr>
                <w:rFonts w:ascii="Arial" w:hAnsi="Arial" w:cs="Arial"/>
                <w:i/>
                <w:iCs/>
                <w:sz w:val="16"/>
                <w:szCs w:val="16"/>
              </w:rPr>
            </w:pPr>
            <w:r w:rsidRPr="009A1FFC">
              <w:rPr>
                <w:rFonts w:ascii="Arial" w:hAnsi="Arial" w:cs="Arial"/>
                <w:i/>
                <w:iCs/>
                <w:sz w:val="16"/>
                <w:szCs w:val="16"/>
              </w:rPr>
              <w:t>SAS SIMAME</w:t>
            </w:r>
          </w:p>
        </w:tc>
        <w:tc>
          <w:tcPr>
            <w:tcW w:w="764" w:type="dxa"/>
            <w:tcBorders>
              <w:top w:val="nil"/>
              <w:left w:val="nil"/>
              <w:bottom w:val="nil"/>
              <w:right w:val="nil"/>
            </w:tcBorders>
            <w:noWrap/>
            <w:vAlign w:val="center"/>
            <w:hideMark/>
          </w:tcPr>
          <w:p w14:paraId="1ECE3A95" w14:textId="77777777" w:rsidR="00396CB5" w:rsidRPr="009A1FFC" w:rsidRDefault="00396CB5" w:rsidP="007D6452">
            <w:pPr>
              <w:keepNext/>
              <w:jc w:val="right"/>
              <w:rPr>
                <w:rFonts w:ascii="Arial" w:hAnsi="Arial" w:cs="Arial"/>
                <w:i/>
                <w:iCs/>
                <w:sz w:val="16"/>
                <w:szCs w:val="16"/>
              </w:rPr>
            </w:pPr>
            <w:r w:rsidRPr="009A1FFC">
              <w:rPr>
                <w:rFonts w:ascii="Arial" w:hAnsi="Arial" w:cs="Arial"/>
                <w:i/>
                <w:iCs/>
                <w:sz w:val="16"/>
                <w:szCs w:val="16"/>
              </w:rPr>
              <w:t xml:space="preserve">15 </w:t>
            </w:r>
          </w:p>
        </w:tc>
        <w:tc>
          <w:tcPr>
            <w:tcW w:w="764" w:type="dxa"/>
            <w:tcBorders>
              <w:top w:val="nil"/>
              <w:left w:val="nil"/>
              <w:bottom w:val="nil"/>
              <w:right w:val="nil"/>
            </w:tcBorders>
            <w:noWrap/>
            <w:vAlign w:val="center"/>
            <w:hideMark/>
          </w:tcPr>
          <w:p w14:paraId="68AA394C" w14:textId="77777777" w:rsidR="00396CB5" w:rsidRPr="009A1FFC" w:rsidRDefault="00396CB5" w:rsidP="007D6452">
            <w:pPr>
              <w:keepNext/>
              <w:jc w:val="right"/>
              <w:rPr>
                <w:rFonts w:ascii="Arial" w:hAnsi="Arial" w:cs="Arial"/>
                <w:i/>
                <w:iCs/>
                <w:sz w:val="16"/>
                <w:szCs w:val="16"/>
              </w:rPr>
            </w:pPr>
            <w:r w:rsidRPr="009A1FFC">
              <w:rPr>
                <w:rFonts w:ascii="Arial" w:hAnsi="Arial" w:cs="Arial"/>
                <w:i/>
                <w:iCs/>
                <w:sz w:val="16"/>
                <w:szCs w:val="16"/>
              </w:rPr>
              <w:t xml:space="preserve">56 </w:t>
            </w:r>
          </w:p>
        </w:tc>
        <w:tc>
          <w:tcPr>
            <w:tcW w:w="764" w:type="dxa"/>
            <w:tcBorders>
              <w:top w:val="nil"/>
              <w:left w:val="nil"/>
              <w:bottom w:val="nil"/>
              <w:right w:val="nil"/>
            </w:tcBorders>
            <w:shd w:val="clear" w:color="000000" w:fill="FFC7CE"/>
            <w:noWrap/>
            <w:vAlign w:val="center"/>
            <w:hideMark/>
          </w:tcPr>
          <w:p w14:paraId="65650A46"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(2)</w:t>
            </w:r>
          </w:p>
        </w:tc>
        <w:tc>
          <w:tcPr>
            <w:tcW w:w="804" w:type="dxa"/>
            <w:tcBorders>
              <w:top w:val="nil"/>
              <w:left w:val="nil"/>
              <w:bottom w:val="nil"/>
              <w:right w:val="nil"/>
            </w:tcBorders>
            <w:shd w:val="clear" w:color="000000" w:fill="FFC7CE"/>
            <w:noWrap/>
            <w:vAlign w:val="center"/>
            <w:hideMark/>
          </w:tcPr>
          <w:p w14:paraId="70480E52" w14:textId="77777777" w:rsidR="00396CB5" w:rsidRPr="009A1FFC" w:rsidRDefault="00396CB5" w:rsidP="007D6452">
            <w:pPr>
              <w:keepNext/>
              <w:jc w:val="right"/>
              <w:rPr>
                <w:rFonts w:ascii="Arial" w:hAnsi="Arial" w:cs="Arial"/>
                <w:i/>
                <w:iCs/>
                <w:color w:val="9C0006"/>
                <w:sz w:val="16"/>
                <w:szCs w:val="16"/>
              </w:rPr>
            </w:pPr>
            <w:r w:rsidRPr="009A1FFC">
              <w:rPr>
                <w:rFonts w:ascii="Arial" w:hAnsi="Arial" w:cs="Arial"/>
                <w:i/>
                <w:iCs/>
                <w:color w:val="9C0006"/>
                <w:sz w:val="16"/>
                <w:szCs w:val="16"/>
              </w:rPr>
              <w:t>(53)</w:t>
            </w:r>
          </w:p>
        </w:tc>
        <w:tc>
          <w:tcPr>
            <w:tcW w:w="804" w:type="dxa"/>
            <w:tcBorders>
              <w:top w:val="nil"/>
              <w:left w:val="nil"/>
              <w:bottom w:val="nil"/>
              <w:right w:val="nil"/>
            </w:tcBorders>
            <w:noWrap/>
            <w:vAlign w:val="center"/>
            <w:hideMark/>
          </w:tcPr>
          <w:p w14:paraId="175A596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127 </w:t>
            </w:r>
          </w:p>
        </w:tc>
      </w:tr>
      <w:tr w:rsidR="00396CB5" w:rsidRPr="009A1FFC" w14:paraId="431A86F0"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10F8EACD" w14:textId="77777777" w:rsidR="00396CB5" w:rsidRPr="009A1FFC" w:rsidRDefault="00396CB5" w:rsidP="007D6452">
            <w:pPr>
              <w:keepNext/>
              <w:rPr>
                <w:rFonts w:ascii="Arial" w:hAnsi="Arial" w:cs="Arial"/>
                <w:color w:val="000000"/>
                <w:sz w:val="16"/>
                <w:szCs w:val="16"/>
              </w:rPr>
            </w:pPr>
            <w:r w:rsidRPr="009A1FFC">
              <w:rPr>
                <w:rFonts w:ascii="Arial" w:hAnsi="Arial" w:cs="Arial"/>
                <w:color w:val="000000"/>
                <w:sz w:val="16"/>
                <w:szCs w:val="16"/>
              </w:rPr>
              <w:t>Roquette + SIMAME (TUP)</w:t>
            </w:r>
          </w:p>
        </w:tc>
        <w:tc>
          <w:tcPr>
            <w:tcW w:w="764" w:type="dxa"/>
            <w:tcBorders>
              <w:top w:val="nil"/>
              <w:left w:val="nil"/>
              <w:bottom w:val="nil"/>
              <w:right w:val="nil"/>
            </w:tcBorders>
            <w:noWrap/>
            <w:vAlign w:val="center"/>
            <w:hideMark/>
          </w:tcPr>
          <w:p w14:paraId="3854639C" w14:textId="77777777" w:rsidR="00396CB5" w:rsidRPr="009A1FFC" w:rsidRDefault="00396CB5" w:rsidP="007D6452">
            <w:pPr>
              <w:keepNext/>
              <w:jc w:val="right"/>
              <w:rPr>
                <w:rFonts w:ascii="Arial" w:hAnsi="Arial" w:cs="Arial"/>
                <w:color w:val="000000"/>
                <w:sz w:val="16"/>
                <w:szCs w:val="16"/>
              </w:rPr>
            </w:pPr>
            <w:r w:rsidRPr="009A1FFC">
              <w:rPr>
                <w:rFonts w:ascii="Arial" w:hAnsi="Arial" w:cs="Arial"/>
                <w:color w:val="000000"/>
                <w:sz w:val="16"/>
                <w:szCs w:val="16"/>
              </w:rPr>
              <w:t xml:space="preserve">1 </w:t>
            </w:r>
          </w:p>
        </w:tc>
        <w:tc>
          <w:tcPr>
            <w:tcW w:w="764" w:type="dxa"/>
            <w:tcBorders>
              <w:top w:val="nil"/>
              <w:left w:val="nil"/>
              <w:bottom w:val="nil"/>
              <w:right w:val="nil"/>
            </w:tcBorders>
            <w:noWrap/>
            <w:vAlign w:val="center"/>
            <w:hideMark/>
          </w:tcPr>
          <w:p w14:paraId="187E352B" w14:textId="77777777" w:rsidR="00396CB5" w:rsidRPr="009A1FFC" w:rsidRDefault="00396CB5" w:rsidP="007D6452">
            <w:pPr>
              <w:keepNext/>
              <w:jc w:val="right"/>
              <w:rPr>
                <w:rFonts w:ascii="Arial" w:hAnsi="Arial" w:cs="Arial"/>
                <w:color w:val="000000"/>
                <w:sz w:val="16"/>
                <w:szCs w:val="16"/>
              </w:rPr>
            </w:pPr>
            <w:r w:rsidRPr="009A1FFC">
              <w:rPr>
                <w:rFonts w:ascii="Arial" w:hAnsi="Arial" w:cs="Arial"/>
                <w:color w:val="000000"/>
                <w:sz w:val="16"/>
                <w:szCs w:val="16"/>
              </w:rPr>
              <w:t xml:space="preserve">32 </w:t>
            </w:r>
          </w:p>
        </w:tc>
        <w:tc>
          <w:tcPr>
            <w:tcW w:w="764" w:type="dxa"/>
            <w:tcBorders>
              <w:top w:val="nil"/>
              <w:left w:val="nil"/>
              <w:bottom w:val="nil"/>
              <w:right w:val="nil"/>
            </w:tcBorders>
            <w:shd w:val="clear" w:color="000000" w:fill="FFC7CE"/>
            <w:noWrap/>
            <w:vAlign w:val="center"/>
            <w:hideMark/>
          </w:tcPr>
          <w:p w14:paraId="3CCA61FA"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(39)</w:t>
            </w:r>
          </w:p>
        </w:tc>
        <w:tc>
          <w:tcPr>
            <w:tcW w:w="804" w:type="dxa"/>
            <w:tcBorders>
              <w:top w:val="nil"/>
              <w:left w:val="nil"/>
              <w:bottom w:val="nil"/>
              <w:right w:val="nil"/>
            </w:tcBorders>
            <w:shd w:val="clear" w:color="000000" w:fill="FFC7CE"/>
            <w:noWrap/>
            <w:vAlign w:val="center"/>
            <w:hideMark/>
          </w:tcPr>
          <w:p w14:paraId="3B1D85DE"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(104)</w:t>
            </w:r>
          </w:p>
        </w:tc>
        <w:tc>
          <w:tcPr>
            <w:tcW w:w="804" w:type="dxa"/>
            <w:tcBorders>
              <w:top w:val="nil"/>
              <w:left w:val="nil"/>
              <w:bottom w:val="nil"/>
              <w:right w:val="nil"/>
            </w:tcBorders>
            <w:noWrap/>
            <w:vAlign w:val="center"/>
            <w:hideMark/>
          </w:tcPr>
          <w:p w14:paraId="76A56B83" w14:textId="77777777" w:rsidR="00396CB5" w:rsidRPr="009A1FFC" w:rsidRDefault="00396CB5" w:rsidP="007D6452">
            <w:pPr>
              <w:keepNext/>
              <w:jc w:val="right"/>
              <w:rPr>
                <w:rFonts w:ascii="Arial" w:hAnsi="Arial" w:cs="Arial"/>
                <w:color w:val="000000"/>
                <w:sz w:val="16"/>
                <w:szCs w:val="16"/>
              </w:rPr>
            </w:pPr>
            <w:r w:rsidRPr="009A1FFC">
              <w:rPr>
                <w:rFonts w:ascii="Arial" w:hAnsi="Arial" w:cs="Arial"/>
                <w:color w:val="000000"/>
                <w:sz w:val="16"/>
                <w:szCs w:val="16"/>
              </w:rPr>
              <w:t xml:space="preserve">- </w:t>
            </w:r>
          </w:p>
        </w:tc>
      </w:tr>
      <w:tr w:rsidR="00396CB5" w:rsidRPr="009A1FFC" w14:paraId="7E344F67"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BB772E3"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Grande Armée</w:t>
            </w:r>
          </w:p>
        </w:tc>
        <w:tc>
          <w:tcPr>
            <w:tcW w:w="764" w:type="dxa"/>
            <w:tcBorders>
              <w:top w:val="nil"/>
              <w:left w:val="nil"/>
              <w:bottom w:val="nil"/>
              <w:right w:val="nil"/>
            </w:tcBorders>
            <w:noWrap/>
            <w:vAlign w:val="center"/>
            <w:hideMark/>
          </w:tcPr>
          <w:p w14:paraId="77BF562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149 </w:t>
            </w:r>
          </w:p>
        </w:tc>
        <w:tc>
          <w:tcPr>
            <w:tcW w:w="764" w:type="dxa"/>
            <w:tcBorders>
              <w:top w:val="nil"/>
              <w:left w:val="nil"/>
              <w:bottom w:val="nil"/>
              <w:right w:val="nil"/>
            </w:tcBorders>
            <w:noWrap/>
            <w:vAlign w:val="center"/>
            <w:hideMark/>
          </w:tcPr>
          <w:p w14:paraId="0259721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364 </w:t>
            </w:r>
          </w:p>
        </w:tc>
        <w:tc>
          <w:tcPr>
            <w:tcW w:w="764" w:type="dxa"/>
            <w:tcBorders>
              <w:top w:val="nil"/>
              <w:left w:val="nil"/>
              <w:bottom w:val="nil"/>
              <w:right w:val="nil"/>
            </w:tcBorders>
            <w:noWrap/>
            <w:vAlign w:val="center"/>
            <w:hideMark/>
          </w:tcPr>
          <w:p w14:paraId="3C7A6DF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369 </w:t>
            </w:r>
          </w:p>
        </w:tc>
        <w:tc>
          <w:tcPr>
            <w:tcW w:w="804" w:type="dxa"/>
            <w:tcBorders>
              <w:top w:val="nil"/>
              <w:left w:val="nil"/>
              <w:bottom w:val="nil"/>
              <w:right w:val="nil"/>
            </w:tcBorders>
            <w:noWrap/>
            <w:vAlign w:val="center"/>
            <w:hideMark/>
          </w:tcPr>
          <w:p w14:paraId="3FD96A8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394 </w:t>
            </w:r>
          </w:p>
        </w:tc>
        <w:tc>
          <w:tcPr>
            <w:tcW w:w="804" w:type="dxa"/>
            <w:tcBorders>
              <w:top w:val="nil"/>
              <w:left w:val="nil"/>
              <w:bottom w:val="nil"/>
              <w:right w:val="nil"/>
            </w:tcBorders>
            <w:shd w:val="clear" w:color="000000" w:fill="FFC7CE"/>
            <w:noWrap/>
            <w:vAlign w:val="center"/>
            <w:hideMark/>
          </w:tcPr>
          <w:p w14:paraId="12D7DC8A"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(1 534)</w:t>
            </w:r>
          </w:p>
        </w:tc>
      </w:tr>
      <w:tr w:rsidR="00396CB5" w:rsidRPr="009A1FFC" w14:paraId="3C726B2C"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37D7283E"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Tournelle</w:t>
            </w:r>
          </w:p>
        </w:tc>
        <w:tc>
          <w:tcPr>
            <w:tcW w:w="764" w:type="dxa"/>
            <w:tcBorders>
              <w:top w:val="nil"/>
              <w:left w:val="nil"/>
              <w:bottom w:val="nil"/>
              <w:right w:val="nil"/>
            </w:tcBorders>
            <w:noWrap/>
            <w:vAlign w:val="center"/>
            <w:hideMark/>
          </w:tcPr>
          <w:p w14:paraId="542F95E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64 </w:t>
            </w:r>
          </w:p>
        </w:tc>
        <w:tc>
          <w:tcPr>
            <w:tcW w:w="764" w:type="dxa"/>
            <w:tcBorders>
              <w:top w:val="nil"/>
              <w:left w:val="nil"/>
              <w:bottom w:val="nil"/>
              <w:right w:val="nil"/>
            </w:tcBorders>
            <w:noWrap/>
            <w:vAlign w:val="center"/>
            <w:hideMark/>
          </w:tcPr>
          <w:p w14:paraId="4095E44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164 </w:t>
            </w:r>
          </w:p>
        </w:tc>
        <w:tc>
          <w:tcPr>
            <w:tcW w:w="764" w:type="dxa"/>
            <w:tcBorders>
              <w:top w:val="nil"/>
              <w:left w:val="nil"/>
              <w:bottom w:val="nil"/>
              <w:right w:val="nil"/>
            </w:tcBorders>
            <w:noWrap/>
            <w:vAlign w:val="center"/>
            <w:hideMark/>
          </w:tcPr>
          <w:p w14:paraId="516273B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151 </w:t>
            </w:r>
          </w:p>
        </w:tc>
        <w:tc>
          <w:tcPr>
            <w:tcW w:w="804" w:type="dxa"/>
            <w:tcBorders>
              <w:top w:val="nil"/>
              <w:left w:val="nil"/>
              <w:bottom w:val="nil"/>
              <w:right w:val="nil"/>
            </w:tcBorders>
            <w:noWrap/>
            <w:vAlign w:val="center"/>
            <w:hideMark/>
          </w:tcPr>
          <w:p w14:paraId="48FD449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148 </w:t>
            </w:r>
          </w:p>
        </w:tc>
        <w:tc>
          <w:tcPr>
            <w:tcW w:w="804" w:type="dxa"/>
            <w:tcBorders>
              <w:top w:val="nil"/>
              <w:left w:val="nil"/>
              <w:bottom w:val="nil"/>
              <w:right w:val="nil"/>
            </w:tcBorders>
            <w:noWrap/>
            <w:vAlign w:val="center"/>
            <w:hideMark/>
          </w:tcPr>
          <w:p w14:paraId="373D0EE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3AF397F6"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0C863EFE"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SASU SIMHA</w:t>
            </w:r>
          </w:p>
        </w:tc>
        <w:tc>
          <w:tcPr>
            <w:tcW w:w="764" w:type="dxa"/>
            <w:tcBorders>
              <w:top w:val="nil"/>
              <w:left w:val="nil"/>
              <w:bottom w:val="nil"/>
              <w:right w:val="nil"/>
            </w:tcBorders>
            <w:noWrap/>
            <w:vAlign w:val="center"/>
            <w:hideMark/>
          </w:tcPr>
          <w:p w14:paraId="152B5F1B"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118 </w:t>
            </w:r>
          </w:p>
        </w:tc>
        <w:tc>
          <w:tcPr>
            <w:tcW w:w="764" w:type="dxa"/>
            <w:tcBorders>
              <w:top w:val="nil"/>
              <w:left w:val="nil"/>
              <w:bottom w:val="nil"/>
              <w:right w:val="nil"/>
            </w:tcBorders>
            <w:noWrap/>
            <w:vAlign w:val="center"/>
            <w:hideMark/>
          </w:tcPr>
          <w:p w14:paraId="3BEC579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256 </w:t>
            </w:r>
          </w:p>
        </w:tc>
        <w:tc>
          <w:tcPr>
            <w:tcW w:w="764" w:type="dxa"/>
            <w:tcBorders>
              <w:top w:val="nil"/>
              <w:left w:val="nil"/>
              <w:bottom w:val="nil"/>
              <w:right w:val="nil"/>
            </w:tcBorders>
            <w:noWrap/>
            <w:vAlign w:val="center"/>
            <w:hideMark/>
          </w:tcPr>
          <w:p w14:paraId="74E8177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26 </w:t>
            </w:r>
          </w:p>
        </w:tc>
        <w:tc>
          <w:tcPr>
            <w:tcW w:w="804" w:type="dxa"/>
            <w:tcBorders>
              <w:top w:val="nil"/>
              <w:left w:val="nil"/>
              <w:bottom w:val="nil"/>
              <w:right w:val="nil"/>
            </w:tcBorders>
            <w:shd w:val="clear" w:color="000000" w:fill="FFC7CE"/>
            <w:noWrap/>
            <w:vAlign w:val="center"/>
            <w:hideMark/>
          </w:tcPr>
          <w:p w14:paraId="06D8F624"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(197)</w:t>
            </w:r>
          </w:p>
        </w:tc>
        <w:tc>
          <w:tcPr>
            <w:tcW w:w="804" w:type="dxa"/>
            <w:tcBorders>
              <w:top w:val="nil"/>
              <w:left w:val="nil"/>
              <w:bottom w:val="nil"/>
              <w:right w:val="nil"/>
            </w:tcBorders>
            <w:noWrap/>
            <w:vAlign w:val="center"/>
            <w:hideMark/>
          </w:tcPr>
          <w:p w14:paraId="4C6788B0"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34 </w:t>
            </w:r>
          </w:p>
        </w:tc>
      </w:tr>
      <w:tr w:rsidR="00396CB5" w:rsidRPr="009A1FFC" w14:paraId="38535ECE"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E1991E8"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de l'Immobilier</w:t>
            </w:r>
          </w:p>
        </w:tc>
        <w:tc>
          <w:tcPr>
            <w:tcW w:w="764" w:type="dxa"/>
            <w:tcBorders>
              <w:top w:val="nil"/>
              <w:left w:val="nil"/>
              <w:bottom w:val="nil"/>
              <w:right w:val="nil"/>
            </w:tcBorders>
            <w:noWrap/>
            <w:vAlign w:val="center"/>
            <w:hideMark/>
          </w:tcPr>
          <w:p w14:paraId="25FF4D7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6 </w:t>
            </w:r>
          </w:p>
        </w:tc>
        <w:tc>
          <w:tcPr>
            <w:tcW w:w="764" w:type="dxa"/>
            <w:tcBorders>
              <w:top w:val="nil"/>
              <w:left w:val="nil"/>
              <w:bottom w:val="nil"/>
              <w:right w:val="nil"/>
            </w:tcBorders>
            <w:noWrap/>
            <w:vAlign w:val="center"/>
            <w:hideMark/>
          </w:tcPr>
          <w:p w14:paraId="4E4AD1E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22 </w:t>
            </w:r>
          </w:p>
        </w:tc>
        <w:tc>
          <w:tcPr>
            <w:tcW w:w="764" w:type="dxa"/>
            <w:tcBorders>
              <w:top w:val="nil"/>
              <w:left w:val="nil"/>
              <w:bottom w:val="nil"/>
              <w:right w:val="nil"/>
            </w:tcBorders>
            <w:shd w:val="clear" w:color="000000" w:fill="FFC7CE"/>
            <w:noWrap/>
            <w:vAlign w:val="center"/>
            <w:hideMark/>
          </w:tcPr>
          <w:p w14:paraId="27643DD3"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(90)</w:t>
            </w:r>
          </w:p>
        </w:tc>
        <w:tc>
          <w:tcPr>
            <w:tcW w:w="804" w:type="dxa"/>
            <w:tcBorders>
              <w:top w:val="nil"/>
              <w:left w:val="nil"/>
              <w:bottom w:val="nil"/>
              <w:right w:val="nil"/>
            </w:tcBorders>
            <w:shd w:val="clear" w:color="000000" w:fill="FFC7CE"/>
            <w:noWrap/>
            <w:vAlign w:val="center"/>
            <w:hideMark/>
          </w:tcPr>
          <w:p w14:paraId="4BA4A17E"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(197)</w:t>
            </w:r>
          </w:p>
        </w:tc>
        <w:tc>
          <w:tcPr>
            <w:tcW w:w="804" w:type="dxa"/>
            <w:tcBorders>
              <w:top w:val="nil"/>
              <w:left w:val="nil"/>
              <w:bottom w:val="nil"/>
              <w:right w:val="nil"/>
            </w:tcBorders>
            <w:shd w:val="clear" w:color="000000" w:fill="FFC7CE"/>
            <w:noWrap/>
            <w:vAlign w:val="center"/>
            <w:hideMark/>
          </w:tcPr>
          <w:p w14:paraId="05D43073"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(521)</w:t>
            </w:r>
          </w:p>
        </w:tc>
      </w:tr>
      <w:tr w:rsidR="00396CB5" w:rsidRPr="009A1FFC" w14:paraId="00EED693"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168D30F"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 xml:space="preserve">SAS La Foncière du </w:t>
            </w:r>
            <w:proofErr w:type="spellStart"/>
            <w:r w:rsidRPr="009A1FFC">
              <w:rPr>
                <w:rFonts w:ascii="Arial" w:hAnsi="Arial" w:cs="Arial"/>
                <w:sz w:val="16"/>
                <w:szCs w:val="16"/>
              </w:rPr>
              <w:t>Retail</w:t>
            </w:r>
            <w:proofErr w:type="spellEnd"/>
          </w:p>
        </w:tc>
        <w:tc>
          <w:tcPr>
            <w:tcW w:w="764" w:type="dxa"/>
            <w:tcBorders>
              <w:top w:val="nil"/>
              <w:left w:val="nil"/>
              <w:bottom w:val="nil"/>
              <w:right w:val="nil"/>
            </w:tcBorders>
            <w:noWrap/>
            <w:vAlign w:val="center"/>
            <w:hideMark/>
          </w:tcPr>
          <w:p w14:paraId="5D75D890"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34 </w:t>
            </w:r>
          </w:p>
        </w:tc>
        <w:tc>
          <w:tcPr>
            <w:tcW w:w="764" w:type="dxa"/>
            <w:tcBorders>
              <w:top w:val="nil"/>
              <w:left w:val="nil"/>
              <w:bottom w:val="nil"/>
              <w:right w:val="nil"/>
            </w:tcBorders>
            <w:noWrap/>
            <w:vAlign w:val="center"/>
            <w:hideMark/>
          </w:tcPr>
          <w:p w14:paraId="0D01FEBB"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84 </w:t>
            </w:r>
          </w:p>
        </w:tc>
        <w:tc>
          <w:tcPr>
            <w:tcW w:w="764" w:type="dxa"/>
            <w:tcBorders>
              <w:top w:val="nil"/>
              <w:left w:val="nil"/>
              <w:bottom w:val="nil"/>
              <w:right w:val="nil"/>
            </w:tcBorders>
            <w:noWrap/>
            <w:vAlign w:val="center"/>
            <w:hideMark/>
          </w:tcPr>
          <w:p w14:paraId="20960D6C"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38 </w:t>
            </w:r>
          </w:p>
        </w:tc>
        <w:tc>
          <w:tcPr>
            <w:tcW w:w="804" w:type="dxa"/>
            <w:tcBorders>
              <w:top w:val="nil"/>
              <w:left w:val="nil"/>
              <w:bottom w:val="nil"/>
              <w:right w:val="nil"/>
            </w:tcBorders>
            <w:shd w:val="clear" w:color="000000" w:fill="FFC7CE"/>
            <w:noWrap/>
            <w:vAlign w:val="center"/>
            <w:hideMark/>
          </w:tcPr>
          <w:p w14:paraId="378DB8A2"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(4)</w:t>
            </w:r>
          </w:p>
        </w:tc>
        <w:tc>
          <w:tcPr>
            <w:tcW w:w="804" w:type="dxa"/>
            <w:tcBorders>
              <w:top w:val="nil"/>
              <w:left w:val="nil"/>
              <w:bottom w:val="nil"/>
              <w:right w:val="nil"/>
            </w:tcBorders>
            <w:shd w:val="clear" w:color="000000" w:fill="FFC7CE"/>
            <w:noWrap/>
            <w:vAlign w:val="center"/>
            <w:hideMark/>
          </w:tcPr>
          <w:p w14:paraId="52F0F4DE"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(329)</w:t>
            </w:r>
          </w:p>
        </w:tc>
      </w:tr>
      <w:tr w:rsidR="00396CB5" w:rsidRPr="009A1FFC" w14:paraId="69947381"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5AA646C"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Lefebvre</w:t>
            </w:r>
          </w:p>
        </w:tc>
        <w:tc>
          <w:tcPr>
            <w:tcW w:w="764" w:type="dxa"/>
            <w:tcBorders>
              <w:top w:val="nil"/>
              <w:left w:val="nil"/>
              <w:bottom w:val="nil"/>
              <w:right w:val="nil"/>
            </w:tcBorders>
            <w:shd w:val="clear" w:color="000000" w:fill="FFC7CE"/>
            <w:noWrap/>
            <w:vAlign w:val="center"/>
            <w:hideMark/>
          </w:tcPr>
          <w:p w14:paraId="54DB64B7"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(313)</w:t>
            </w:r>
          </w:p>
        </w:tc>
        <w:tc>
          <w:tcPr>
            <w:tcW w:w="764" w:type="dxa"/>
            <w:tcBorders>
              <w:top w:val="nil"/>
              <w:left w:val="nil"/>
              <w:bottom w:val="nil"/>
              <w:right w:val="nil"/>
            </w:tcBorders>
            <w:shd w:val="clear" w:color="000000" w:fill="FFC7CE"/>
            <w:noWrap/>
            <w:vAlign w:val="center"/>
            <w:hideMark/>
          </w:tcPr>
          <w:p w14:paraId="7FB3B1D8"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(209)</w:t>
            </w:r>
          </w:p>
        </w:tc>
        <w:tc>
          <w:tcPr>
            <w:tcW w:w="764" w:type="dxa"/>
            <w:tcBorders>
              <w:top w:val="nil"/>
              <w:left w:val="nil"/>
              <w:bottom w:val="nil"/>
              <w:right w:val="nil"/>
            </w:tcBorders>
            <w:shd w:val="clear" w:color="000000" w:fill="FFC7CE"/>
            <w:noWrap/>
            <w:vAlign w:val="center"/>
            <w:hideMark/>
          </w:tcPr>
          <w:p w14:paraId="2BBAA4DB"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(296)</w:t>
            </w:r>
          </w:p>
        </w:tc>
        <w:tc>
          <w:tcPr>
            <w:tcW w:w="804" w:type="dxa"/>
            <w:tcBorders>
              <w:top w:val="nil"/>
              <w:left w:val="nil"/>
              <w:bottom w:val="nil"/>
              <w:right w:val="nil"/>
            </w:tcBorders>
            <w:shd w:val="clear" w:color="000000" w:fill="FFC7CE"/>
            <w:noWrap/>
            <w:vAlign w:val="center"/>
            <w:hideMark/>
          </w:tcPr>
          <w:p w14:paraId="325322E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(382)</w:t>
            </w:r>
          </w:p>
        </w:tc>
        <w:tc>
          <w:tcPr>
            <w:tcW w:w="804" w:type="dxa"/>
            <w:tcBorders>
              <w:top w:val="nil"/>
              <w:left w:val="nil"/>
              <w:bottom w:val="nil"/>
              <w:right w:val="nil"/>
            </w:tcBorders>
            <w:shd w:val="clear" w:color="000000" w:fill="FFC7CE"/>
            <w:noWrap/>
            <w:vAlign w:val="center"/>
            <w:hideMark/>
          </w:tcPr>
          <w:p w14:paraId="3A6FAEDF"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(766)</w:t>
            </w:r>
          </w:p>
        </w:tc>
      </w:tr>
      <w:tr w:rsidR="00396CB5" w:rsidRPr="009A1FFC" w14:paraId="76A82C31"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F201B8A"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Richer</w:t>
            </w:r>
          </w:p>
        </w:tc>
        <w:tc>
          <w:tcPr>
            <w:tcW w:w="764" w:type="dxa"/>
            <w:tcBorders>
              <w:top w:val="nil"/>
              <w:left w:val="nil"/>
              <w:bottom w:val="nil"/>
              <w:right w:val="nil"/>
            </w:tcBorders>
            <w:noWrap/>
            <w:vAlign w:val="center"/>
            <w:hideMark/>
          </w:tcPr>
          <w:p w14:paraId="0DCD6AC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28 </w:t>
            </w:r>
          </w:p>
        </w:tc>
        <w:tc>
          <w:tcPr>
            <w:tcW w:w="764" w:type="dxa"/>
            <w:tcBorders>
              <w:top w:val="nil"/>
              <w:left w:val="nil"/>
              <w:bottom w:val="nil"/>
              <w:right w:val="nil"/>
            </w:tcBorders>
            <w:noWrap/>
            <w:vAlign w:val="center"/>
            <w:hideMark/>
          </w:tcPr>
          <w:p w14:paraId="1C853E10"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66 </w:t>
            </w:r>
          </w:p>
        </w:tc>
        <w:tc>
          <w:tcPr>
            <w:tcW w:w="764" w:type="dxa"/>
            <w:tcBorders>
              <w:top w:val="nil"/>
              <w:left w:val="nil"/>
              <w:bottom w:val="nil"/>
              <w:right w:val="nil"/>
            </w:tcBorders>
            <w:noWrap/>
            <w:vAlign w:val="center"/>
            <w:hideMark/>
          </w:tcPr>
          <w:p w14:paraId="3EAABE6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79 </w:t>
            </w:r>
          </w:p>
        </w:tc>
        <w:tc>
          <w:tcPr>
            <w:tcW w:w="804" w:type="dxa"/>
            <w:tcBorders>
              <w:top w:val="nil"/>
              <w:left w:val="nil"/>
              <w:bottom w:val="nil"/>
              <w:right w:val="nil"/>
            </w:tcBorders>
            <w:noWrap/>
            <w:vAlign w:val="center"/>
            <w:hideMark/>
          </w:tcPr>
          <w:p w14:paraId="375695E3"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96 </w:t>
            </w:r>
          </w:p>
        </w:tc>
        <w:tc>
          <w:tcPr>
            <w:tcW w:w="804" w:type="dxa"/>
            <w:tcBorders>
              <w:top w:val="nil"/>
              <w:left w:val="nil"/>
              <w:bottom w:val="nil"/>
              <w:right w:val="nil"/>
            </w:tcBorders>
            <w:noWrap/>
            <w:vAlign w:val="center"/>
            <w:hideMark/>
          </w:tcPr>
          <w:p w14:paraId="0FC0E89B"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332 </w:t>
            </w:r>
          </w:p>
        </w:tc>
      </w:tr>
      <w:tr w:rsidR="00396CB5" w:rsidRPr="009A1FFC" w14:paraId="1CCBAD8D"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CB4423F"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Percier</w:t>
            </w:r>
          </w:p>
        </w:tc>
        <w:tc>
          <w:tcPr>
            <w:tcW w:w="764" w:type="dxa"/>
            <w:tcBorders>
              <w:top w:val="nil"/>
              <w:left w:val="nil"/>
              <w:bottom w:val="nil"/>
              <w:right w:val="nil"/>
            </w:tcBorders>
            <w:noWrap/>
            <w:vAlign w:val="center"/>
            <w:hideMark/>
          </w:tcPr>
          <w:p w14:paraId="1A5E3AD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86 </w:t>
            </w:r>
          </w:p>
        </w:tc>
        <w:tc>
          <w:tcPr>
            <w:tcW w:w="764" w:type="dxa"/>
            <w:tcBorders>
              <w:top w:val="nil"/>
              <w:left w:val="nil"/>
              <w:bottom w:val="nil"/>
              <w:right w:val="nil"/>
            </w:tcBorders>
            <w:noWrap/>
            <w:vAlign w:val="center"/>
            <w:hideMark/>
          </w:tcPr>
          <w:p w14:paraId="2C03F65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238 </w:t>
            </w:r>
          </w:p>
        </w:tc>
        <w:tc>
          <w:tcPr>
            <w:tcW w:w="764" w:type="dxa"/>
            <w:tcBorders>
              <w:top w:val="nil"/>
              <w:left w:val="nil"/>
              <w:bottom w:val="nil"/>
              <w:right w:val="nil"/>
            </w:tcBorders>
            <w:noWrap/>
            <w:vAlign w:val="center"/>
            <w:hideMark/>
          </w:tcPr>
          <w:p w14:paraId="2F0D3B5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205 </w:t>
            </w:r>
          </w:p>
        </w:tc>
        <w:tc>
          <w:tcPr>
            <w:tcW w:w="804" w:type="dxa"/>
            <w:tcBorders>
              <w:top w:val="nil"/>
              <w:left w:val="nil"/>
              <w:bottom w:val="nil"/>
              <w:right w:val="nil"/>
            </w:tcBorders>
            <w:noWrap/>
            <w:vAlign w:val="center"/>
            <w:hideMark/>
          </w:tcPr>
          <w:p w14:paraId="29AA887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187 </w:t>
            </w:r>
          </w:p>
        </w:tc>
        <w:tc>
          <w:tcPr>
            <w:tcW w:w="804" w:type="dxa"/>
            <w:tcBorders>
              <w:top w:val="nil"/>
              <w:left w:val="nil"/>
              <w:bottom w:val="nil"/>
              <w:right w:val="nil"/>
            </w:tcBorders>
            <w:noWrap/>
            <w:vAlign w:val="center"/>
            <w:hideMark/>
          </w:tcPr>
          <w:p w14:paraId="0E4233D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67B008FB"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4CCDCA05"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Vignon</w:t>
            </w:r>
          </w:p>
        </w:tc>
        <w:tc>
          <w:tcPr>
            <w:tcW w:w="764" w:type="dxa"/>
            <w:tcBorders>
              <w:top w:val="nil"/>
              <w:left w:val="nil"/>
              <w:bottom w:val="nil"/>
              <w:right w:val="nil"/>
            </w:tcBorders>
            <w:shd w:val="clear" w:color="000000" w:fill="FFC7CE"/>
            <w:noWrap/>
            <w:vAlign w:val="center"/>
            <w:hideMark/>
          </w:tcPr>
          <w:p w14:paraId="0DCC0CD1"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(10)</w:t>
            </w:r>
          </w:p>
        </w:tc>
        <w:tc>
          <w:tcPr>
            <w:tcW w:w="764" w:type="dxa"/>
            <w:tcBorders>
              <w:top w:val="nil"/>
              <w:left w:val="nil"/>
              <w:bottom w:val="nil"/>
              <w:right w:val="nil"/>
            </w:tcBorders>
            <w:shd w:val="clear" w:color="000000" w:fill="FFC7CE"/>
            <w:noWrap/>
            <w:vAlign w:val="center"/>
            <w:hideMark/>
          </w:tcPr>
          <w:p w14:paraId="68147016"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w:t>
            </w:r>
          </w:p>
        </w:tc>
        <w:tc>
          <w:tcPr>
            <w:tcW w:w="764" w:type="dxa"/>
            <w:tcBorders>
              <w:top w:val="nil"/>
              <w:left w:val="nil"/>
              <w:bottom w:val="nil"/>
              <w:right w:val="nil"/>
            </w:tcBorders>
            <w:shd w:val="clear" w:color="000000" w:fill="FFC7CE"/>
            <w:noWrap/>
            <w:vAlign w:val="center"/>
            <w:hideMark/>
          </w:tcPr>
          <w:p w14:paraId="731CE4B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(141)</w:t>
            </w:r>
          </w:p>
        </w:tc>
        <w:tc>
          <w:tcPr>
            <w:tcW w:w="804" w:type="dxa"/>
            <w:tcBorders>
              <w:top w:val="nil"/>
              <w:left w:val="nil"/>
              <w:bottom w:val="nil"/>
              <w:right w:val="nil"/>
            </w:tcBorders>
            <w:shd w:val="clear" w:color="000000" w:fill="FFC7CE"/>
            <w:noWrap/>
            <w:vAlign w:val="center"/>
            <w:hideMark/>
          </w:tcPr>
          <w:p w14:paraId="36802451"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(275)</w:t>
            </w:r>
          </w:p>
        </w:tc>
        <w:tc>
          <w:tcPr>
            <w:tcW w:w="804" w:type="dxa"/>
            <w:tcBorders>
              <w:top w:val="nil"/>
              <w:left w:val="nil"/>
              <w:bottom w:val="nil"/>
              <w:right w:val="nil"/>
            </w:tcBorders>
            <w:shd w:val="clear" w:color="000000" w:fill="FFC7CE"/>
            <w:noWrap/>
            <w:vAlign w:val="center"/>
            <w:hideMark/>
          </w:tcPr>
          <w:p w14:paraId="6CFE026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(839)</w:t>
            </w:r>
          </w:p>
        </w:tc>
      </w:tr>
      <w:tr w:rsidR="00396CB5" w:rsidRPr="009A1FFC" w14:paraId="3D2F4438"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75568E9"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Faubourg Saint-Antoine</w:t>
            </w:r>
          </w:p>
        </w:tc>
        <w:tc>
          <w:tcPr>
            <w:tcW w:w="764" w:type="dxa"/>
            <w:tcBorders>
              <w:top w:val="nil"/>
              <w:left w:val="nil"/>
              <w:bottom w:val="nil"/>
              <w:right w:val="nil"/>
            </w:tcBorders>
            <w:noWrap/>
            <w:vAlign w:val="center"/>
            <w:hideMark/>
          </w:tcPr>
          <w:p w14:paraId="52A6A9C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40 </w:t>
            </w:r>
          </w:p>
        </w:tc>
        <w:tc>
          <w:tcPr>
            <w:tcW w:w="764" w:type="dxa"/>
            <w:tcBorders>
              <w:top w:val="nil"/>
              <w:left w:val="nil"/>
              <w:bottom w:val="nil"/>
              <w:right w:val="nil"/>
            </w:tcBorders>
            <w:noWrap/>
            <w:vAlign w:val="center"/>
            <w:hideMark/>
          </w:tcPr>
          <w:p w14:paraId="5ECC302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81 </w:t>
            </w:r>
          </w:p>
        </w:tc>
        <w:tc>
          <w:tcPr>
            <w:tcW w:w="764" w:type="dxa"/>
            <w:tcBorders>
              <w:top w:val="nil"/>
              <w:left w:val="nil"/>
              <w:bottom w:val="nil"/>
              <w:right w:val="nil"/>
            </w:tcBorders>
            <w:noWrap/>
            <w:vAlign w:val="center"/>
            <w:hideMark/>
          </w:tcPr>
          <w:p w14:paraId="5A60217B"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48 </w:t>
            </w:r>
          </w:p>
        </w:tc>
        <w:tc>
          <w:tcPr>
            <w:tcW w:w="804" w:type="dxa"/>
            <w:tcBorders>
              <w:top w:val="nil"/>
              <w:left w:val="nil"/>
              <w:bottom w:val="nil"/>
              <w:right w:val="nil"/>
            </w:tcBorders>
            <w:noWrap/>
            <w:vAlign w:val="center"/>
            <w:hideMark/>
          </w:tcPr>
          <w:p w14:paraId="34F1594E"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19 </w:t>
            </w:r>
          </w:p>
        </w:tc>
        <w:tc>
          <w:tcPr>
            <w:tcW w:w="804" w:type="dxa"/>
            <w:tcBorders>
              <w:top w:val="nil"/>
              <w:left w:val="nil"/>
              <w:bottom w:val="nil"/>
              <w:right w:val="nil"/>
            </w:tcBorders>
            <w:shd w:val="clear" w:color="000000" w:fill="FFC7CE"/>
            <w:noWrap/>
            <w:vAlign w:val="center"/>
            <w:hideMark/>
          </w:tcPr>
          <w:p w14:paraId="29FBD536"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(485)</w:t>
            </w:r>
          </w:p>
        </w:tc>
      </w:tr>
      <w:tr w:rsidR="00396CB5" w:rsidRPr="009A1FFC" w14:paraId="3D499BC9"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5958FCBF"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SASU Foncière Bienfaisance</w:t>
            </w:r>
          </w:p>
        </w:tc>
        <w:tc>
          <w:tcPr>
            <w:tcW w:w="764" w:type="dxa"/>
            <w:tcBorders>
              <w:top w:val="nil"/>
              <w:left w:val="nil"/>
              <w:bottom w:val="nil"/>
              <w:right w:val="nil"/>
            </w:tcBorders>
            <w:shd w:val="clear" w:color="000000" w:fill="FFC7CE"/>
            <w:noWrap/>
            <w:vAlign w:val="center"/>
            <w:hideMark/>
          </w:tcPr>
          <w:p w14:paraId="45E51483"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w:t>
            </w:r>
          </w:p>
        </w:tc>
        <w:tc>
          <w:tcPr>
            <w:tcW w:w="764" w:type="dxa"/>
            <w:tcBorders>
              <w:top w:val="nil"/>
              <w:left w:val="nil"/>
              <w:bottom w:val="nil"/>
              <w:right w:val="nil"/>
            </w:tcBorders>
            <w:noWrap/>
            <w:vAlign w:val="center"/>
            <w:hideMark/>
          </w:tcPr>
          <w:p w14:paraId="0050B95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29 </w:t>
            </w:r>
          </w:p>
        </w:tc>
        <w:tc>
          <w:tcPr>
            <w:tcW w:w="764" w:type="dxa"/>
            <w:tcBorders>
              <w:top w:val="nil"/>
              <w:left w:val="nil"/>
              <w:bottom w:val="nil"/>
              <w:right w:val="nil"/>
            </w:tcBorders>
            <w:shd w:val="clear" w:color="000000" w:fill="FFC7CE"/>
            <w:noWrap/>
            <w:vAlign w:val="center"/>
            <w:hideMark/>
          </w:tcPr>
          <w:p w14:paraId="33E3DB1C"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(20)</w:t>
            </w:r>
          </w:p>
        </w:tc>
        <w:tc>
          <w:tcPr>
            <w:tcW w:w="804" w:type="dxa"/>
            <w:tcBorders>
              <w:top w:val="nil"/>
              <w:left w:val="nil"/>
              <w:bottom w:val="nil"/>
              <w:right w:val="nil"/>
            </w:tcBorders>
            <w:shd w:val="clear" w:color="000000" w:fill="FFC7CE"/>
            <w:noWrap/>
            <w:vAlign w:val="center"/>
            <w:hideMark/>
          </w:tcPr>
          <w:p w14:paraId="47598F19"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(63)</w:t>
            </w:r>
          </w:p>
        </w:tc>
        <w:tc>
          <w:tcPr>
            <w:tcW w:w="804" w:type="dxa"/>
            <w:tcBorders>
              <w:top w:val="nil"/>
              <w:left w:val="nil"/>
              <w:bottom w:val="nil"/>
              <w:right w:val="nil"/>
            </w:tcBorders>
            <w:shd w:val="clear" w:color="000000" w:fill="FFC7CE"/>
            <w:noWrap/>
            <w:vAlign w:val="center"/>
            <w:hideMark/>
          </w:tcPr>
          <w:p w14:paraId="51D396B6"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(906)</w:t>
            </w:r>
          </w:p>
        </w:tc>
      </w:tr>
      <w:tr w:rsidR="00396CB5" w:rsidRPr="004A796A" w14:paraId="52BE76EF"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4BEA356D" w14:textId="77777777" w:rsidR="00396CB5" w:rsidRPr="004A796A" w:rsidRDefault="00396CB5" w:rsidP="007D6452">
            <w:pPr>
              <w:keepNext/>
              <w:rPr>
                <w:rFonts w:ascii="Arial" w:hAnsi="Arial" w:cs="Arial"/>
                <w:b/>
                <w:bCs/>
                <w:sz w:val="16"/>
                <w:szCs w:val="16"/>
              </w:rPr>
            </w:pPr>
            <w:r w:rsidRPr="004A796A">
              <w:rPr>
                <w:rFonts w:ascii="Arial" w:hAnsi="Arial" w:cs="Arial"/>
                <w:b/>
                <w:bCs/>
                <w:sz w:val="16"/>
                <w:szCs w:val="16"/>
              </w:rPr>
              <w:t>SAS Foncière 24 rue du 4 septembre</w:t>
            </w:r>
          </w:p>
        </w:tc>
        <w:tc>
          <w:tcPr>
            <w:tcW w:w="764" w:type="dxa"/>
            <w:tcBorders>
              <w:top w:val="nil"/>
              <w:left w:val="nil"/>
              <w:bottom w:val="nil"/>
              <w:right w:val="nil"/>
            </w:tcBorders>
            <w:noWrap/>
            <w:vAlign w:val="center"/>
            <w:hideMark/>
          </w:tcPr>
          <w:p w14:paraId="73107468" w14:textId="77777777" w:rsidR="00396CB5" w:rsidRPr="004A796A" w:rsidRDefault="00396CB5" w:rsidP="007D6452">
            <w:pPr>
              <w:keepNext/>
              <w:jc w:val="right"/>
              <w:rPr>
                <w:rFonts w:ascii="Arial" w:hAnsi="Arial" w:cs="Arial"/>
                <w:b/>
                <w:bCs/>
                <w:sz w:val="16"/>
                <w:szCs w:val="16"/>
              </w:rPr>
            </w:pPr>
            <w:r w:rsidRPr="004A796A">
              <w:rPr>
                <w:rFonts w:ascii="Arial" w:hAnsi="Arial" w:cs="Arial"/>
                <w:b/>
                <w:bCs/>
                <w:sz w:val="16"/>
                <w:szCs w:val="16"/>
              </w:rPr>
              <w:t xml:space="preserve">94 </w:t>
            </w:r>
          </w:p>
        </w:tc>
        <w:tc>
          <w:tcPr>
            <w:tcW w:w="764" w:type="dxa"/>
            <w:tcBorders>
              <w:top w:val="nil"/>
              <w:left w:val="nil"/>
              <w:bottom w:val="nil"/>
              <w:right w:val="nil"/>
            </w:tcBorders>
            <w:noWrap/>
            <w:vAlign w:val="center"/>
            <w:hideMark/>
          </w:tcPr>
          <w:p w14:paraId="594EA381" w14:textId="77777777" w:rsidR="00396CB5" w:rsidRPr="004A796A" w:rsidRDefault="00396CB5" w:rsidP="007D6452">
            <w:pPr>
              <w:keepNext/>
              <w:jc w:val="right"/>
              <w:rPr>
                <w:rFonts w:ascii="Arial" w:hAnsi="Arial" w:cs="Arial"/>
                <w:b/>
                <w:bCs/>
                <w:sz w:val="16"/>
                <w:szCs w:val="16"/>
              </w:rPr>
            </w:pPr>
            <w:r w:rsidRPr="004A796A">
              <w:rPr>
                <w:rFonts w:ascii="Arial" w:hAnsi="Arial" w:cs="Arial"/>
                <w:b/>
                <w:bCs/>
                <w:sz w:val="16"/>
                <w:szCs w:val="16"/>
              </w:rPr>
              <w:t xml:space="preserve">241 </w:t>
            </w:r>
          </w:p>
        </w:tc>
        <w:tc>
          <w:tcPr>
            <w:tcW w:w="764" w:type="dxa"/>
            <w:tcBorders>
              <w:top w:val="nil"/>
              <w:left w:val="nil"/>
              <w:bottom w:val="nil"/>
              <w:right w:val="nil"/>
            </w:tcBorders>
            <w:noWrap/>
            <w:vAlign w:val="center"/>
            <w:hideMark/>
          </w:tcPr>
          <w:p w14:paraId="38E37118" w14:textId="77777777" w:rsidR="00396CB5" w:rsidRPr="004A796A" w:rsidRDefault="00396CB5" w:rsidP="007D6452">
            <w:pPr>
              <w:keepNext/>
              <w:jc w:val="right"/>
              <w:rPr>
                <w:rFonts w:ascii="Arial" w:hAnsi="Arial" w:cs="Arial"/>
                <w:b/>
                <w:bCs/>
                <w:sz w:val="16"/>
                <w:szCs w:val="16"/>
              </w:rPr>
            </w:pPr>
            <w:r w:rsidRPr="004A796A">
              <w:rPr>
                <w:rFonts w:ascii="Arial" w:hAnsi="Arial" w:cs="Arial"/>
                <w:b/>
                <w:bCs/>
                <w:sz w:val="16"/>
                <w:szCs w:val="16"/>
              </w:rPr>
              <w:t xml:space="preserve">400 </w:t>
            </w:r>
          </w:p>
        </w:tc>
        <w:tc>
          <w:tcPr>
            <w:tcW w:w="804" w:type="dxa"/>
            <w:tcBorders>
              <w:top w:val="nil"/>
              <w:left w:val="nil"/>
              <w:bottom w:val="nil"/>
              <w:right w:val="nil"/>
            </w:tcBorders>
            <w:noWrap/>
            <w:vAlign w:val="center"/>
            <w:hideMark/>
          </w:tcPr>
          <w:p w14:paraId="08766869" w14:textId="77777777" w:rsidR="00396CB5" w:rsidRPr="004A796A" w:rsidRDefault="00396CB5" w:rsidP="007D6452">
            <w:pPr>
              <w:keepNext/>
              <w:jc w:val="right"/>
              <w:rPr>
                <w:rFonts w:ascii="Arial" w:hAnsi="Arial" w:cs="Arial"/>
                <w:b/>
                <w:bCs/>
                <w:sz w:val="16"/>
                <w:szCs w:val="16"/>
              </w:rPr>
            </w:pPr>
            <w:r w:rsidRPr="004A796A">
              <w:rPr>
                <w:rFonts w:ascii="Arial" w:hAnsi="Arial" w:cs="Arial"/>
                <w:b/>
                <w:bCs/>
                <w:sz w:val="16"/>
                <w:szCs w:val="16"/>
              </w:rPr>
              <w:t xml:space="preserve">574 </w:t>
            </w:r>
          </w:p>
        </w:tc>
        <w:tc>
          <w:tcPr>
            <w:tcW w:w="804" w:type="dxa"/>
            <w:tcBorders>
              <w:top w:val="nil"/>
              <w:left w:val="nil"/>
              <w:bottom w:val="nil"/>
              <w:right w:val="nil"/>
            </w:tcBorders>
            <w:noWrap/>
            <w:vAlign w:val="center"/>
            <w:hideMark/>
          </w:tcPr>
          <w:p w14:paraId="41902A95" w14:textId="77777777" w:rsidR="00396CB5" w:rsidRPr="004A796A" w:rsidRDefault="00396CB5" w:rsidP="007D6452">
            <w:pPr>
              <w:keepNext/>
              <w:jc w:val="right"/>
              <w:rPr>
                <w:rFonts w:ascii="Arial" w:hAnsi="Arial" w:cs="Arial"/>
                <w:b/>
                <w:bCs/>
                <w:sz w:val="16"/>
                <w:szCs w:val="16"/>
              </w:rPr>
            </w:pPr>
            <w:r w:rsidRPr="004A796A">
              <w:rPr>
                <w:rFonts w:ascii="Arial" w:hAnsi="Arial" w:cs="Arial"/>
                <w:b/>
                <w:bCs/>
                <w:sz w:val="16"/>
                <w:szCs w:val="16"/>
              </w:rPr>
              <w:t xml:space="preserve">- </w:t>
            </w:r>
          </w:p>
        </w:tc>
      </w:tr>
      <w:tr w:rsidR="00396CB5" w:rsidRPr="009A1FFC" w14:paraId="6E134534"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FE5A2BC"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Madrid</w:t>
            </w:r>
          </w:p>
        </w:tc>
        <w:tc>
          <w:tcPr>
            <w:tcW w:w="764" w:type="dxa"/>
            <w:tcBorders>
              <w:top w:val="nil"/>
              <w:left w:val="nil"/>
              <w:bottom w:val="nil"/>
              <w:right w:val="nil"/>
            </w:tcBorders>
            <w:noWrap/>
            <w:vAlign w:val="center"/>
            <w:hideMark/>
          </w:tcPr>
          <w:p w14:paraId="57A1066C"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9 </w:t>
            </w:r>
          </w:p>
        </w:tc>
        <w:tc>
          <w:tcPr>
            <w:tcW w:w="764" w:type="dxa"/>
            <w:tcBorders>
              <w:top w:val="nil"/>
              <w:left w:val="nil"/>
              <w:bottom w:val="nil"/>
              <w:right w:val="nil"/>
            </w:tcBorders>
            <w:noWrap/>
            <w:vAlign w:val="center"/>
            <w:hideMark/>
          </w:tcPr>
          <w:p w14:paraId="57804E73"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22 </w:t>
            </w:r>
          </w:p>
        </w:tc>
        <w:tc>
          <w:tcPr>
            <w:tcW w:w="764" w:type="dxa"/>
            <w:tcBorders>
              <w:top w:val="nil"/>
              <w:left w:val="nil"/>
              <w:bottom w:val="nil"/>
              <w:right w:val="nil"/>
            </w:tcBorders>
            <w:noWrap/>
            <w:vAlign w:val="center"/>
            <w:hideMark/>
          </w:tcPr>
          <w:p w14:paraId="704E7D3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21 </w:t>
            </w:r>
          </w:p>
        </w:tc>
        <w:tc>
          <w:tcPr>
            <w:tcW w:w="804" w:type="dxa"/>
            <w:tcBorders>
              <w:top w:val="nil"/>
              <w:left w:val="nil"/>
              <w:bottom w:val="nil"/>
              <w:right w:val="nil"/>
            </w:tcBorders>
            <w:noWrap/>
            <w:vAlign w:val="center"/>
            <w:hideMark/>
          </w:tcPr>
          <w:p w14:paraId="0E26DFAF"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20 </w:t>
            </w:r>
          </w:p>
        </w:tc>
        <w:tc>
          <w:tcPr>
            <w:tcW w:w="804" w:type="dxa"/>
            <w:tcBorders>
              <w:top w:val="nil"/>
              <w:left w:val="nil"/>
              <w:bottom w:val="nil"/>
              <w:right w:val="nil"/>
            </w:tcBorders>
            <w:noWrap/>
            <w:vAlign w:val="center"/>
            <w:hideMark/>
          </w:tcPr>
          <w:p w14:paraId="045FE650"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184DFD08"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452DA4B"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Réaumur</w:t>
            </w:r>
          </w:p>
        </w:tc>
        <w:tc>
          <w:tcPr>
            <w:tcW w:w="764" w:type="dxa"/>
            <w:tcBorders>
              <w:top w:val="nil"/>
              <w:left w:val="nil"/>
              <w:bottom w:val="nil"/>
              <w:right w:val="nil"/>
            </w:tcBorders>
            <w:noWrap/>
            <w:vAlign w:val="center"/>
            <w:hideMark/>
          </w:tcPr>
          <w:p w14:paraId="298D599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126 </w:t>
            </w:r>
          </w:p>
        </w:tc>
        <w:tc>
          <w:tcPr>
            <w:tcW w:w="764" w:type="dxa"/>
            <w:tcBorders>
              <w:top w:val="nil"/>
              <w:left w:val="nil"/>
              <w:bottom w:val="nil"/>
              <w:right w:val="nil"/>
            </w:tcBorders>
            <w:noWrap/>
            <w:vAlign w:val="center"/>
            <w:hideMark/>
          </w:tcPr>
          <w:p w14:paraId="2EB2064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283 </w:t>
            </w:r>
          </w:p>
        </w:tc>
        <w:tc>
          <w:tcPr>
            <w:tcW w:w="764" w:type="dxa"/>
            <w:tcBorders>
              <w:top w:val="nil"/>
              <w:left w:val="nil"/>
              <w:bottom w:val="nil"/>
              <w:right w:val="nil"/>
            </w:tcBorders>
            <w:noWrap/>
            <w:vAlign w:val="center"/>
            <w:hideMark/>
          </w:tcPr>
          <w:p w14:paraId="7EA80CF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314 </w:t>
            </w:r>
          </w:p>
        </w:tc>
        <w:tc>
          <w:tcPr>
            <w:tcW w:w="804" w:type="dxa"/>
            <w:tcBorders>
              <w:top w:val="nil"/>
              <w:left w:val="nil"/>
              <w:bottom w:val="nil"/>
              <w:right w:val="nil"/>
            </w:tcBorders>
            <w:noWrap/>
            <w:vAlign w:val="center"/>
            <w:hideMark/>
          </w:tcPr>
          <w:p w14:paraId="10062F8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359 </w:t>
            </w:r>
          </w:p>
        </w:tc>
        <w:tc>
          <w:tcPr>
            <w:tcW w:w="804" w:type="dxa"/>
            <w:tcBorders>
              <w:top w:val="nil"/>
              <w:left w:val="nil"/>
              <w:bottom w:val="nil"/>
              <w:right w:val="nil"/>
            </w:tcBorders>
            <w:shd w:val="clear" w:color="000000" w:fill="FFC7CE"/>
            <w:noWrap/>
            <w:vAlign w:val="center"/>
            <w:hideMark/>
          </w:tcPr>
          <w:p w14:paraId="585A391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(0)</w:t>
            </w:r>
          </w:p>
        </w:tc>
      </w:tr>
      <w:tr w:rsidR="00396CB5" w:rsidRPr="009A1FFC" w14:paraId="23F12D62"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02F0DA2D"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Edgar Quinet</w:t>
            </w:r>
          </w:p>
        </w:tc>
        <w:tc>
          <w:tcPr>
            <w:tcW w:w="764" w:type="dxa"/>
            <w:tcBorders>
              <w:top w:val="nil"/>
              <w:left w:val="nil"/>
              <w:bottom w:val="nil"/>
              <w:right w:val="nil"/>
            </w:tcBorders>
            <w:noWrap/>
            <w:vAlign w:val="center"/>
            <w:hideMark/>
          </w:tcPr>
          <w:p w14:paraId="6CEEA1A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158 </w:t>
            </w:r>
          </w:p>
        </w:tc>
        <w:tc>
          <w:tcPr>
            <w:tcW w:w="764" w:type="dxa"/>
            <w:tcBorders>
              <w:top w:val="nil"/>
              <w:left w:val="nil"/>
              <w:bottom w:val="nil"/>
              <w:right w:val="nil"/>
            </w:tcBorders>
            <w:noWrap/>
            <w:vAlign w:val="center"/>
            <w:hideMark/>
          </w:tcPr>
          <w:p w14:paraId="19BC4B14"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244 </w:t>
            </w:r>
          </w:p>
        </w:tc>
        <w:tc>
          <w:tcPr>
            <w:tcW w:w="764" w:type="dxa"/>
            <w:tcBorders>
              <w:top w:val="nil"/>
              <w:left w:val="nil"/>
              <w:bottom w:val="nil"/>
              <w:right w:val="nil"/>
            </w:tcBorders>
            <w:noWrap/>
            <w:vAlign w:val="center"/>
            <w:hideMark/>
          </w:tcPr>
          <w:p w14:paraId="67990CB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235 </w:t>
            </w:r>
          </w:p>
        </w:tc>
        <w:tc>
          <w:tcPr>
            <w:tcW w:w="804" w:type="dxa"/>
            <w:tcBorders>
              <w:top w:val="nil"/>
              <w:left w:val="nil"/>
              <w:bottom w:val="nil"/>
              <w:right w:val="nil"/>
            </w:tcBorders>
            <w:noWrap/>
            <w:vAlign w:val="center"/>
            <w:hideMark/>
          </w:tcPr>
          <w:p w14:paraId="7589A923"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236 </w:t>
            </w:r>
          </w:p>
        </w:tc>
        <w:tc>
          <w:tcPr>
            <w:tcW w:w="804" w:type="dxa"/>
            <w:tcBorders>
              <w:top w:val="nil"/>
              <w:left w:val="nil"/>
              <w:bottom w:val="nil"/>
              <w:right w:val="nil"/>
            </w:tcBorders>
            <w:noWrap/>
            <w:vAlign w:val="center"/>
            <w:hideMark/>
          </w:tcPr>
          <w:p w14:paraId="3D2A89B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548E5A24"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666D985"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SAS Foncière Saint-Quentin</w:t>
            </w:r>
          </w:p>
        </w:tc>
        <w:tc>
          <w:tcPr>
            <w:tcW w:w="764" w:type="dxa"/>
            <w:tcBorders>
              <w:top w:val="nil"/>
              <w:left w:val="nil"/>
              <w:bottom w:val="nil"/>
              <w:right w:val="nil"/>
            </w:tcBorders>
            <w:noWrap/>
            <w:vAlign w:val="center"/>
            <w:hideMark/>
          </w:tcPr>
          <w:p w14:paraId="62B3CA1C"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143 </w:t>
            </w:r>
          </w:p>
        </w:tc>
        <w:tc>
          <w:tcPr>
            <w:tcW w:w="764" w:type="dxa"/>
            <w:tcBorders>
              <w:top w:val="nil"/>
              <w:left w:val="nil"/>
              <w:bottom w:val="nil"/>
              <w:right w:val="nil"/>
            </w:tcBorders>
            <w:noWrap/>
            <w:vAlign w:val="center"/>
            <w:hideMark/>
          </w:tcPr>
          <w:p w14:paraId="265D8BAF"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222 </w:t>
            </w:r>
          </w:p>
        </w:tc>
        <w:tc>
          <w:tcPr>
            <w:tcW w:w="764" w:type="dxa"/>
            <w:tcBorders>
              <w:top w:val="nil"/>
              <w:left w:val="nil"/>
              <w:bottom w:val="nil"/>
              <w:right w:val="nil"/>
            </w:tcBorders>
            <w:noWrap/>
            <w:vAlign w:val="center"/>
            <w:hideMark/>
          </w:tcPr>
          <w:p w14:paraId="6DC4878C"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199 </w:t>
            </w:r>
          </w:p>
        </w:tc>
        <w:tc>
          <w:tcPr>
            <w:tcW w:w="804" w:type="dxa"/>
            <w:tcBorders>
              <w:top w:val="nil"/>
              <w:left w:val="nil"/>
              <w:bottom w:val="nil"/>
              <w:right w:val="nil"/>
            </w:tcBorders>
            <w:noWrap/>
            <w:vAlign w:val="center"/>
            <w:hideMark/>
          </w:tcPr>
          <w:p w14:paraId="2790F0EF"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186 </w:t>
            </w:r>
          </w:p>
        </w:tc>
        <w:tc>
          <w:tcPr>
            <w:tcW w:w="804" w:type="dxa"/>
            <w:tcBorders>
              <w:top w:val="nil"/>
              <w:left w:val="nil"/>
              <w:bottom w:val="nil"/>
              <w:right w:val="nil"/>
            </w:tcBorders>
            <w:noWrap/>
            <w:vAlign w:val="center"/>
            <w:hideMark/>
          </w:tcPr>
          <w:p w14:paraId="7E77CA07"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7C46D49B"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7424EA9F"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SNC Pelican</w:t>
            </w:r>
          </w:p>
        </w:tc>
        <w:tc>
          <w:tcPr>
            <w:tcW w:w="764" w:type="dxa"/>
            <w:tcBorders>
              <w:top w:val="nil"/>
              <w:left w:val="nil"/>
              <w:bottom w:val="nil"/>
              <w:right w:val="nil"/>
            </w:tcBorders>
            <w:noWrap/>
            <w:vAlign w:val="center"/>
            <w:hideMark/>
          </w:tcPr>
          <w:p w14:paraId="4749C3E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12 </w:t>
            </w:r>
          </w:p>
        </w:tc>
        <w:tc>
          <w:tcPr>
            <w:tcW w:w="764" w:type="dxa"/>
            <w:tcBorders>
              <w:top w:val="nil"/>
              <w:left w:val="nil"/>
              <w:bottom w:val="nil"/>
              <w:right w:val="nil"/>
            </w:tcBorders>
            <w:noWrap/>
            <w:vAlign w:val="center"/>
            <w:hideMark/>
          </w:tcPr>
          <w:p w14:paraId="73ED75B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120 </w:t>
            </w:r>
          </w:p>
        </w:tc>
        <w:tc>
          <w:tcPr>
            <w:tcW w:w="764" w:type="dxa"/>
            <w:tcBorders>
              <w:top w:val="nil"/>
              <w:left w:val="nil"/>
              <w:bottom w:val="nil"/>
              <w:right w:val="nil"/>
            </w:tcBorders>
            <w:noWrap/>
            <w:vAlign w:val="center"/>
            <w:hideMark/>
          </w:tcPr>
          <w:p w14:paraId="77C9F6E5"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224 </w:t>
            </w:r>
          </w:p>
        </w:tc>
        <w:tc>
          <w:tcPr>
            <w:tcW w:w="804" w:type="dxa"/>
            <w:tcBorders>
              <w:top w:val="nil"/>
              <w:left w:val="nil"/>
              <w:bottom w:val="nil"/>
              <w:right w:val="nil"/>
            </w:tcBorders>
            <w:noWrap/>
            <w:vAlign w:val="center"/>
            <w:hideMark/>
          </w:tcPr>
          <w:p w14:paraId="1A11B47E"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331 </w:t>
            </w:r>
          </w:p>
        </w:tc>
        <w:tc>
          <w:tcPr>
            <w:tcW w:w="804" w:type="dxa"/>
            <w:tcBorders>
              <w:top w:val="nil"/>
              <w:left w:val="nil"/>
              <w:bottom w:val="nil"/>
              <w:right w:val="nil"/>
            </w:tcBorders>
            <w:noWrap/>
            <w:vAlign w:val="center"/>
            <w:hideMark/>
          </w:tcPr>
          <w:p w14:paraId="3445FEA5"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 </w:t>
            </w:r>
          </w:p>
        </w:tc>
      </w:tr>
      <w:tr w:rsidR="00396CB5" w:rsidRPr="009A1FFC" w14:paraId="62216A06"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44574840"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3 Vallées</w:t>
            </w:r>
          </w:p>
        </w:tc>
        <w:tc>
          <w:tcPr>
            <w:tcW w:w="764" w:type="dxa"/>
            <w:tcBorders>
              <w:top w:val="nil"/>
              <w:left w:val="nil"/>
              <w:bottom w:val="nil"/>
              <w:right w:val="nil"/>
            </w:tcBorders>
            <w:noWrap/>
            <w:vAlign w:val="center"/>
            <w:hideMark/>
          </w:tcPr>
          <w:p w14:paraId="637BA88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 </w:t>
            </w:r>
          </w:p>
        </w:tc>
        <w:tc>
          <w:tcPr>
            <w:tcW w:w="764" w:type="dxa"/>
            <w:tcBorders>
              <w:top w:val="nil"/>
              <w:left w:val="nil"/>
              <w:bottom w:val="nil"/>
              <w:right w:val="nil"/>
            </w:tcBorders>
            <w:noWrap/>
            <w:vAlign w:val="center"/>
            <w:hideMark/>
          </w:tcPr>
          <w:p w14:paraId="19FCFE64"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8 </w:t>
            </w:r>
          </w:p>
        </w:tc>
        <w:tc>
          <w:tcPr>
            <w:tcW w:w="764" w:type="dxa"/>
            <w:tcBorders>
              <w:top w:val="nil"/>
              <w:left w:val="nil"/>
              <w:bottom w:val="nil"/>
              <w:right w:val="nil"/>
            </w:tcBorders>
            <w:noWrap/>
            <w:vAlign w:val="center"/>
            <w:hideMark/>
          </w:tcPr>
          <w:p w14:paraId="19B7F06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5 </w:t>
            </w:r>
          </w:p>
        </w:tc>
        <w:tc>
          <w:tcPr>
            <w:tcW w:w="804" w:type="dxa"/>
            <w:tcBorders>
              <w:top w:val="nil"/>
              <w:left w:val="nil"/>
              <w:bottom w:val="nil"/>
              <w:right w:val="nil"/>
            </w:tcBorders>
            <w:noWrap/>
            <w:vAlign w:val="center"/>
            <w:hideMark/>
          </w:tcPr>
          <w:p w14:paraId="408EBAD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 </w:t>
            </w:r>
          </w:p>
        </w:tc>
        <w:tc>
          <w:tcPr>
            <w:tcW w:w="804" w:type="dxa"/>
            <w:tcBorders>
              <w:top w:val="nil"/>
              <w:left w:val="nil"/>
              <w:bottom w:val="nil"/>
              <w:right w:val="nil"/>
            </w:tcBorders>
            <w:shd w:val="clear" w:color="000000" w:fill="FFC7CE"/>
            <w:noWrap/>
            <w:vAlign w:val="center"/>
            <w:hideMark/>
          </w:tcPr>
          <w:p w14:paraId="3EA1D97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(37)</w:t>
            </w:r>
          </w:p>
        </w:tc>
      </w:tr>
      <w:tr w:rsidR="00396CB5" w:rsidRPr="009A1FFC" w14:paraId="35489DE3"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36ED4B50"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Tolbiac</w:t>
            </w:r>
          </w:p>
        </w:tc>
        <w:tc>
          <w:tcPr>
            <w:tcW w:w="764" w:type="dxa"/>
            <w:tcBorders>
              <w:top w:val="nil"/>
              <w:left w:val="nil"/>
              <w:bottom w:val="nil"/>
              <w:right w:val="nil"/>
            </w:tcBorders>
            <w:noWrap/>
            <w:vAlign w:val="center"/>
            <w:hideMark/>
          </w:tcPr>
          <w:p w14:paraId="486EFB74"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 </w:t>
            </w:r>
          </w:p>
        </w:tc>
        <w:tc>
          <w:tcPr>
            <w:tcW w:w="764" w:type="dxa"/>
            <w:tcBorders>
              <w:top w:val="nil"/>
              <w:left w:val="nil"/>
              <w:bottom w:val="nil"/>
              <w:right w:val="nil"/>
            </w:tcBorders>
            <w:noWrap/>
            <w:vAlign w:val="center"/>
            <w:hideMark/>
          </w:tcPr>
          <w:p w14:paraId="64B15E3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11 </w:t>
            </w:r>
          </w:p>
        </w:tc>
        <w:tc>
          <w:tcPr>
            <w:tcW w:w="764" w:type="dxa"/>
            <w:tcBorders>
              <w:top w:val="nil"/>
              <w:left w:val="nil"/>
              <w:bottom w:val="nil"/>
              <w:right w:val="nil"/>
            </w:tcBorders>
            <w:noWrap/>
            <w:vAlign w:val="center"/>
            <w:hideMark/>
          </w:tcPr>
          <w:p w14:paraId="037946D8"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11 </w:t>
            </w:r>
          </w:p>
        </w:tc>
        <w:tc>
          <w:tcPr>
            <w:tcW w:w="804" w:type="dxa"/>
            <w:tcBorders>
              <w:top w:val="nil"/>
              <w:left w:val="nil"/>
              <w:bottom w:val="nil"/>
              <w:right w:val="nil"/>
            </w:tcBorders>
            <w:noWrap/>
            <w:vAlign w:val="center"/>
            <w:hideMark/>
          </w:tcPr>
          <w:p w14:paraId="5E9F898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11 </w:t>
            </w:r>
          </w:p>
        </w:tc>
        <w:tc>
          <w:tcPr>
            <w:tcW w:w="804" w:type="dxa"/>
            <w:tcBorders>
              <w:top w:val="nil"/>
              <w:left w:val="nil"/>
              <w:bottom w:val="nil"/>
              <w:right w:val="nil"/>
            </w:tcBorders>
            <w:noWrap/>
            <w:vAlign w:val="center"/>
            <w:hideMark/>
          </w:tcPr>
          <w:p w14:paraId="296C280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258 </w:t>
            </w:r>
          </w:p>
        </w:tc>
      </w:tr>
      <w:tr w:rsidR="00396CB5" w:rsidRPr="009A1FFC" w14:paraId="5AC3BAB1"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3DDDE548"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Blanche</w:t>
            </w:r>
          </w:p>
        </w:tc>
        <w:tc>
          <w:tcPr>
            <w:tcW w:w="764" w:type="dxa"/>
            <w:tcBorders>
              <w:top w:val="nil"/>
              <w:left w:val="nil"/>
              <w:bottom w:val="nil"/>
              <w:right w:val="nil"/>
            </w:tcBorders>
            <w:noWrap/>
            <w:vAlign w:val="center"/>
            <w:hideMark/>
          </w:tcPr>
          <w:p w14:paraId="04B1D08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12 </w:t>
            </w:r>
          </w:p>
        </w:tc>
        <w:tc>
          <w:tcPr>
            <w:tcW w:w="764" w:type="dxa"/>
            <w:tcBorders>
              <w:top w:val="nil"/>
              <w:left w:val="nil"/>
              <w:bottom w:val="nil"/>
              <w:right w:val="nil"/>
            </w:tcBorders>
            <w:noWrap/>
            <w:vAlign w:val="center"/>
            <w:hideMark/>
          </w:tcPr>
          <w:p w14:paraId="3498941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28 </w:t>
            </w:r>
          </w:p>
        </w:tc>
        <w:tc>
          <w:tcPr>
            <w:tcW w:w="764" w:type="dxa"/>
            <w:tcBorders>
              <w:top w:val="nil"/>
              <w:left w:val="nil"/>
              <w:bottom w:val="nil"/>
              <w:right w:val="nil"/>
            </w:tcBorders>
            <w:noWrap/>
            <w:vAlign w:val="center"/>
            <w:hideMark/>
          </w:tcPr>
          <w:p w14:paraId="5C753AA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37 </w:t>
            </w:r>
          </w:p>
        </w:tc>
        <w:tc>
          <w:tcPr>
            <w:tcW w:w="804" w:type="dxa"/>
            <w:tcBorders>
              <w:top w:val="nil"/>
              <w:left w:val="nil"/>
              <w:bottom w:val="nil"/>
              <w:right w:val="nil"/>
            </w:tcBorders>
            <w:noWrap/>
            <w:vAlign w:val="center"/>
            <w:hideMark/>
          </w:tcPr>
          <w:p w14:paraId="1857D06B"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46 </w:t>
            </w:r>
          </w:p>
        </w:tc>
        <w:tc>
          <w:tcPr>
            <w:tcW w:w="804" w:type="dxa"/>
            <w:tcBorders>
              <w:top w:val="nil"/>
              <w:left w:val="nil"/>
              <w:bottom w:val="nil"/>
              <w:right w:val="nil"/>
            </w:tcBorders>
            <w:noWrap/>
            <w:vAlign w:val="center"/>
            <w:hideMark/>
          </w:tcPr>
          <w:p w14:paraId="7BE351B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244 </w:t>
            </w:r>
          </w:p>
        </w:tc>
      </w:tr>
      <w:tr w:rsidR="00396CB5" w:rsidRPr="009A1FFC" w14:paraId="46167A72"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1DDFC08"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Nouvelle Etoile</w:t>
            </w:r>
          </w:p>
        </w:tc>
        <w:tc>
          <w:tcPr>
            <w:tcW w:w="764" w:type="dxa"/>
            <w:tcBorders>
              <w:top w:val="nil"/>
              <w:left w:val="nil"/>
              <w:bottom w:val="nil"/>
              <w:right w:val="nil"/>
            </w:tcBorders>
            <w:noWrap/>
            <w:vAlign w:val="center"/>
            <w:hideMark/>
          </w:tcPr>
          <w:p w14:paraId="5C1A8FAD"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7 </w:t>
            </w:r>
          </w:p>
        </w:tc>
        <w:tc>
          <w:tcPr>
            <w:tcW w:w="764" w:type="dxa"/>
            <w:tcBorders>
              <w:top w:val="nil"/>
              <w:left w:val="nil"/>
              <w:bottom w:val="nil"/>
              <w:right w:val="nil"/>
            </w:tcBorders>
            <w:noWrap/>
            <w:vAlign w:val="center"/>
            <w:hideMark/>
          </w:tcPr>
          <w:p w14:paraId="0206D8B6"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7 </w:t>
            </w:r>
          </w:p>
        </w:tc>
        <w:tc>
          <w:tcPr>
            <w:tcW w:w="764" w:type="dxa"/>
            <w:tcBorders>
              <w:top w:val="nil"/>
              <w:left w:val="nil"/>
              <w:bottom w:val="nil"/>
              <w:right w:val="nil"/>
            </w:tcBorders>
            <w:noWrap/>
            <w:vAlign w:val="center"/>
            <w:hideMark/>
          </w:tcPr>
          <w:p w14:paraId="5BB47111"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 </w:t>
            </w:r>
          </w:p>
        </w:tc>
        <w:tc>
          <w:tcPr>
            <w:tcW w:w="804" w:type="dxa"/>
            <w:tcBorders>
              <w:top w:val="nil"/>
              <w:left w:val="nil"/>
              <w:bottom w:val="nil"/>
              <w:right w:val="nil"/>
            </w:tcBorders>
            <w:shd w:val="clear" w:color="000000" w:fill="FFC7CE"/>
            <w:noWrap/>
            <w:vAlign w:val="center"/>
            <w:hideMark/>
          </w:tcPr>
          <w:p w14:paraId="346286CD" w14:textId="77777777" w:rsidR="00396CB5" w:rsidRPr="009A1FFC" w:rsidRDefault="00396CB5" w:rsidP="007D6452">
            <w:pPr>
              <w:keepNext/>
              <w:jc w:val="right"/>
              <w:rPr>
                <w:rFonts w:ascii="Arial" w:hAnsi="Arial" w:cs="Arial"/>
                <w:color w:val="9C0006"/>
                <w:sz w:val="16"/>
                <w:szCs w:val="16"/>
              </w:rPr>
            </w:pPr>
            <w:r w:rsidRPr="009A1FFC">
              <w:rPr>
                <w:rFonts w:ascii="Arial" w:hAnsi="Arial" w:cs="Arial"/>
                <w:color w:val="9C0006"/>
                <w:sz w:val="16"/>
                <w:szCs w:val="16"/>
              </w:rPr>
              <w:t>(4)</w:t>
            </w:r>
          </w:p>
        </w:tc>
        <w:tc>
          <w:tcPr>
            <w:tcW w:w="804" w:type="dxa"/>
            <w:tcBorders>
              <w:top w:val="nil"/>
              <w:left w:val="nil"/>
              <w:bottom w:val="nil"/>
              <w:right w:val="nil"/>
            </w:tcBorders>
            <w:noWrap/>
            <w:vAlign w:val="center"/>
            <w:hideMark/>
          </w:tcPr>
          <w:p w14:paraId="42DA26FC"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48 </w:t>
            </w:r>
          </w:p>
        </w:tc>
      </w:tr>
      <w:tr w:rsidR="00396CB5" w:rsidRPr="009A1FFC" w14:paraId="00BC2EF2"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67644CA4"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49 Versailles</w:t>
            </w:r>
          </w:p>
        </w:tc>
        <w:tc>
          <w:tcPr>
            <w:tcW w:w="764" w:type="dxa"/>
            <w:tcBorders>
              <w:top w:val="nil"/>
              <w:left w:val="nil"/>
              <w:bottom w:val="nil"/>
              <w:right w:val="nil"/>
            </w:tcBorders>
            <w:noWrap/>
            <w:vAlign w:val="center"/>
            <w:hideMark/>
          </w:tcPr>
          <w:p w14:paraId="0DDD18A2"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13 </w:t>
            </w:r>
          </w:p>
        </w:tc>
        <w:tc>
          <w:tcPr>
            <w:tcW w:w="764" w:type="dxa"/>
            <w:tcBorders>
              <w:top w:val="nil"/>
              <w:left w:val="nil"/>
              <w:bottom w:val="nil"/>
              <w:right w:val="nil"/>
            </w:tcBorders>
            <w:noWrap/>
            <w:vAlign w:val="center"/>
            <w:hideMark/>
          </w:tcPr>
          <w:p w14:paraId="7606A549"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28 </w:t>
            </w:r>
          </w:p>
        </w:tc>
        <w:tc>
          <w:tcPr>
            <w:tcW w:w="764" w:type="dxa"/>
            <w:tcBorders>
              <w:top w:val="nil"/>
              <w:left w:val="nil"/>
              <w:bottom w:val="nil"/>
              <w:right w:val="nil"/>
            </w:tcBorders>
            <w:noWrap/>
            <w:vAlign w:val="center"/>
            <w:hideMark/>
          </w:tcPr>
          <w:p w14:paraId="77FFE8B0"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23 </w:t>
            </w:r>
          </w:p>
        </w:tc>
        <w:tc>
          <w:tcPr>
            <w:tcW w:w="804" w:type="dxa"/>
            <w:tcBorders>
              <w:top w:val="nil"/>
              <w:left w:val="nil"/>
              <w:bottom w:val="nil"/>
              <w:right w:val="nil"/>
            </w:tcBorders>
            <w:noWrap/>
            <w:vAlign w:val="center"/>
            <w:hideMark/>
          </w:tcPr>
          <w:p w14:paraId="2F8E9BD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19 </w:t>
            </w:r>
          </w:p>
        </w:tc>
        <w:tc>
          <w:tcPr>
            <w:tcW w:w="804" w:type="dxa"/>
            <w:tcBorders>
              <w:top w:val="nil"/>
              <w:left w:val="nil"/>
              <w:bottom w:val="nil"/>
              <w:right w:val="nil"/>
            </w:tcBorders>
            <w:noWrap/>
            <w:vAlign w:val="center"/>
            <w:hideMark/>
          </w:tcPr>
          <w:p w14:paraId="0CFDD40A" w14:textId="77777777" w:rsidR="00396CB5" w:rsidRPr="009A1FFC" w:rsidRDefault="00396CB5" w:rsidP="007D6452">
            <w:pPr>
              <w:keepNext/>
              <w:jc w:val="right"/>
              <w:rPr>
                <w:rFonts w:ascii="Arial" w:hAnsi="Arial" w:cs="Arial"/>
                <w:sz w:val="16"/>
                <w:szCs w:val="16"/>
              </w:rPr>
            </w:pPr>
            <w:r w:rsidRPr="009A1FFC">
              <w:rPr>
                <w:rFonts w:ascii="Arial" w:hAnsi="Arial" w:cs="Arial"/>
                <w:sz w:val="16"/>
                <w:szCs w:val="16"/>
              </w:rPr>
              <w:t xml:space="preserve">208 </w:t>
            </w:r>
          </w:p>
        </w:tc>
      </w:tr>
      <w:tr w:rsidR="00396CB5" w:rsidRPr="009A1FFC" w14:paraId="08D66D8B"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4E61ACF1"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Château d'Eau (liquidée)</w:t>
            </w:r>
          </w:p>
        </w:tc>
        <w:tc>
          <w:tcPr>
            <w:tcW w:w="764" w:type="dxa"/>
            <w:tcBorders>
              <w:top w:val="nil"/>
              <w:left w:val="nil"/>
              <w:bottom w:val="nil"/>
              <w:right w:val="nil"/>
            </w:tcBorders>
            <w:noWrap/>
            <w:vAlign w:val="center"/>
            <w:hideMark/>
          </w:tcPr>
          <w:p w14:paraId="143467C8"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397E1483"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34E5A98D"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69A65665"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2D4D482B"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r>
      <w:tr w:rsidR="00396CB5" w:rsidRPr="009A1FFC" w14:paraId="3852B329"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253531C2"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SCI Belleville (liquidée)</w:t>
            </w:r>
          </w:p>
        </w:tc>
        <w:tc>
          <w:tcPr>
            <w:tcW w:w="764" w:type="dxa"/>
            <w:tcBorders>
              <w:top w:val="nil"/>
              <w:left w:val="nil"/>
              <w:bottom w:val="nil"/>
              <w:right w:val="nil"/>
            </w:tcBorders>
            <w:noWrap/>
            <w:vAlign w:val="center"/>
            <w:hideMark/>
          </w:tcPr>
          <w:p w14:paraId="04C2A52A"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3A46ECE3"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4DFA95E2"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2154DBA4"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4F7AE291"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r>
      <w:tr w:rsidR="00396CB5" w:rsidRPr="009A1FFC" w14:paraId="105F1B78" w14:textId="77777777" w:rsidTr="007D6452">
        <w:trPr>
          <w:gridAfter w:val="1"/>
          <w:wAfter w:w="18" w:type="dxa"/>
          <w:trHeight w:val="200"/>
          <w:jc w:val="center"/>
        </w:trPr>
        <w:tc>
          <w:tcPr>
            <w:tcW w:w="4304" w:type="dxa"/>
            <w:tcBorders>
              <w:top w:val="nil"/>
              <w:left w:val="nil"/>
              <w:bottom w:val="nil"/>
              <w:right w:val="nil"/>
            </w:tcBorders>
            <w:noWrap/>
            <w:vAlign w:val="center"/>
            <w:hideMark/>
          </w:tcPr>
          <w:p w14:paraId="57B0079B" w14:textId="77777777" w:rsidR="00396CB5" w:rsidRPr="009A1FFC" w:rsidRDefault="00396CB5" w:rsidP="007D6452">
            <w:pPr>
              <w:keepNext/>
              <w:rPr>
                <w:rFonts w:ascii="Arial" w:hAnsi="Arial" w:cs="Arial"/>
                <w:sz w:val="16"/>
                <w:szCs w:val="16"/>
              </w:rPr>
            </w:pPr>
            <w:r w:rsidRPr="009A1FFC">
              <w:rPr>
                <w:rFonts w:ascii="Arial" w:hAnsi="Arial" w:cs="Arial"/>
                <w:sz w:val="16"/>
                <w:szCs w:val="16"/>
              </w:rPr>
              <w:t xml:space="preserve">SCI </w:t>
            </w:r>
            <w:proofErr w:type="spellStart"/>
            <w:r w:rsidRPr="009A1FFC">
              <w:rPr>
                <w:rFonts w:ascii="Arial" w:hAnsi="Arial" w:cs="Arial"/>
                <w:sz w:val="16"/>
                <w:szCs w:val="16"/>
              </w:rPr>
              <w:t>Basfroi</w:t>
            </w:r>
            <w:proofErr w:type="spellEnd"/>
            <w:r w:rsidRPr="009A1FFC">
              <w:rPr>
                <w:rFonts w:ascii="Arial" w:hAnsi="Arial" w:cs="Arial"/>
                <w:sz w:val="16"/>
                <w:szCs w:val="16"/>
              </w:rPr>
              <w:t xml:space="preserve"> (liquidée)</w:t>
            </w:r>
          </w:p>
        </w:tc>
        <w:tc>
          <w:tcPr>
            <w:tcW w:w="764" w:type="dxa"/>
            <w:tcBorders>
              <w:top w:val="nil"/>
              <w:left w:val="nil"/>
              <w:bottom w:val="nil"/>
              <w:right w:val="nil"/>
            </w:tcBorders>
            <w:noWrap/>
            <w:vAlign w:val="center"/>
            <w:hideMark/>
          </w:tcPr>
          <w:p w14:paraId="1720ABBD"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5B6930C0"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764" w:type="dxa"/>
            <w:tcBorders>
              <w:top w:val="nil"/>
              <w:left w:val="nil"/>
              <w:bottom w:val="nil"/>
              <w:right w:val="nil"/>
            </w:tcBorders>
            <w:noWrap/>
            <w:vAlign w:val="center"/>
            <w:hideMark/>
          </w:tcPr>
          <w:p w14:paraId="6D800D57"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648CA968"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c>
          <w:tcPr>
            <w:tcW w:w="804" w:type="dxa"/>
            <w:tcBorders>
              <w:top w:val="nil"/>
              <w:left w:val="nil"/>
              <w:bottom w:val="nil"/>
              <w:right w:val="nil"/>
            </w:tcBorders>
            <w:noWrap/>
            <w:vAlign w:val="center"/>
            <w:hideMark/>
          </w:tcPr>
          <w:p w14:paraId="034BDCB7" w14:textId="77777777" w:rsidR="00396CB5" w:rsidRPr="009A1FFC" w:rsidRDefault="00396CB5" w:rsidP="007D6452">
            <w:pPr>
              <w:keepNext/>
              <w:jc w:val="right"/>
              <w:rPr>
                <w:rFonts w:ascii="Arial" w:hAnsi="Arial" w:cs="Arial"/>
                <w:sz w:val="16"/>
                <w:szCs w:val="16"/>
              </w:rPr>
            </w:pPr>
            <w:proofErr w:type="spellStart"/>
            <w:r w:rsidRPr="009A1FFC">
              <w:rPr>
                <w:rFonts w:ascii="Arial" w:hAnsi="Arial" w:cs="Arial"/>
                <w:sz w:val="16"/>
                <w:szCs w:val="16"/>
              </w:rPr>
              <w:t>n.a</w:t>
            </w:r>
            <w:proofErr w:type="spellEnd"/>
            <w:r w:rsidRPr="009A1FFC">
              <w:rPr>
                <w:rFonts w:ascii="Arial" w:hAnsi="Arial" w:cs="Arial"/>
                <w:sz w:val="16"/>
                <w:szCs w:val="16"/>
              </w:rPr>
              <w:t xml:space="preserve">. </w:t>
            </w:r>
          </w:p>
        </w:tc>
      </w:tr>
      <w:tr w:rsidR="00396CB5" w:rsidRPr="009A1FFC" w14:paraId="30823CC1" w14:textId="77777777" w:rsidTr="007D6452">
        <w:trPr>
          <w:gridAfter w:val="1"/>
          <w:wAfter w:w="18" w:type="dxa"/>
          <w:trHeight w:val="108"/>
          <w:jc w:val="center"/>
        </w:trPr>
        <w:tc>
          <w:tcPr>
            <w:tcW w:w="4304" w:type="dxa"/>
            <w:tcBorders>
              <w:top w:val="nil"/>
              <w:left w:val="nil"/>
              <w:bottom w:val="nil"/>
              <w:right w:val="nil"/>
            </w:tcBorders>
            <w:noWrap/>
            <w:vAlign w:val="center"/>
            <w:hideMark/>
          </w:tcPr>
          <w:p w14:paraId="2BAD8CE9" w14:textId="77777777" w:rsidR="00396CB5" w:rsidRPr="009A1FFC" w:rsidRDefault="00396CB5" w:rsidP="007D6452">
            <w:pPr>
              <w:keepNext/>
              <w:jc w:val="right"/>
              <w:rPr>
                <w:rFonts w:ascii="Arial" w:hAnsi="Arial" w:cs="Arial"/>
                <w:sz w:val="16"/>
                <w:szCs w:val="16"/>
              </w:rPr>
            </w:pPr>
          </w:p>
        </w:tc>
        <w:tc>
          <w:tcPr>
            <w:tcW w:w="764" w:type="dxa"/>
            <w:tcBorders>
              <w:top w:val="nil"/>
              <w:left w:val="nil"/>
              <w:bottom w:val="nil"/>
              <w:right w:val="nil"/>
            </w:tcBorders>
            <w:noWrap/>
            <w:vAlign w:val="center"/>
            <w:hideMark/>
          </w:tcPr>
          <w:p w14:paraId="3C03879C" w14:textId="77777777" w:rsidR="00396CB5" w:rsidRPr="009A1FFC" w:rsidRDefault="00396CB5" w:rsidP="007D6452">
            <w:pPr>
              <w:keepNext/>
              <w:rPr>
                <w:sz w:val="20"/>
                <w:szCs w:val="20"/>
              </w:rPr>
            </w:pPr>
          </w:p>
        </w:tc>
        <w:tc>
          <w:tcPr>
            <w:tcW w:w="764" w:type="dxa"/>
            <w:tcBorders>
              <w:top w:val="nil"/>
              <w:left w:val="nil"/>
              <w:bottom w:val="nil"/>
              <w:right w:val="nil"/>
            </w:tcBorders>
            <w:noWrap/>
            <w:vAlign w:val="center"/>
            <w:hideMark/>
          </w:tcPr>
          <w:p w14:paraId="6E7631A7" w14:textId="77777777" w:rsidR="00396CB5" w:rsidRPr="009A1FFC" w:rsidRDefault="00396CB5" w:rsidP="007D6452">
            <w:pPr>
              <w:keepNext/>
              <w:jc w:val="right"/>
              <w:rPr>
                <w:sz w:val="20"/>
                <w:szCs w:val="20"/>
              </w:rPr>
            </w:pPr>
          </w:p>
        </w:tc>
        <w:tc>
          <w:tcPr>
            <w:tcW w:w="764" w:type="dxa"/>
            <w:tcBorders>
              <w:top w:val="nil"/>
              <w:left w:val="nil"/>
              <w:bottom w:val="nil"/>
              <w:right w:val="nil"/>
            </w:tcBorders>
            <w:noWrap/>
            <w:vAlign w:val="center"/>
            <w:hideMark/>
          </w:tcPr>
          <w:p w14:paraId="475BC688" w14:textId="77777777" w:rsidR="00396CB5" w:rsidRPr="009A1FFC" w:rsidRDefault="00396CB5" w:rsidP="007D6452">
            <w:pPr>
              <w:keepNext/>
              <w:jc w:val="right"/>
              <w:rPr>
                <w:sz w:val="20"/>
                <w:szCs w:val="20"/>
              </w:rPr>
            </w:pPr>
          </w:p>
        </w:tc>
        <w:tc>
          <w:tcPr>
            <w:tcW w:w="804" w:type="dxa"/>
            <w:tcBorders>
              <w:top w:val="nil"/>
              <w:left w:val="nil"/>
              <w:bottom w:val="nil"/>
              <w:right w:val="nil"/>
            </w:tcBorders>
            <w:noWrap/>
            <w:vAlign w:val="center"/>
            <w:hideMark/>
          </w:tcPr>
          <w:p w14:paraId="26DC3AC8" w14:textId="77777777" w:rsidR="00396CB5" w:rsidRPr="009A1FFC" w:rsidRDefault="00396CB5" w:rsidP="007D6452">
            <w:pPr>
              <w:keepNext/>
              <w:jc w:val="right"/>
              <w:rPr>
                <w:sz w:val="20"/>
                <w:szCs w:val="20"/>
              </w:rPr>
            </w:pPr>
          </w:p>
        </w:tc>
        <w:tc>
          <w:tcPr>
            <w:tcW w:w="804" w:type="dxa"/>
            <w:tcBorders>
              <w:top w:val="nil"/>
              <w:left w:val="nil"/>
              <w:bottom w:val="nil"/>
              <w:right w:val="nil"/>
            </w:tcBorders>
            <w:noWrap/>
            <w:vAlign w:val="center"/>
            <w:hideMark/>
          </w:tcPr>
          <w:p w14:paraId="69C7C94B" w14:textId="77777777" w:rsidR="00396CB5" w:rsidRPr="009A1FFC" w:rsidRDefault="00396CB5" w:rsidP="007D6452">
            <w:pPr>
              <w:keepNext/>
              <w:jc w:val="right"/>
              <w:rPr>
                <w:sz w:val="20"/>
                <w:szCs w:val="20"/>
              </w:rPr>
            </w:pPr>
          </w:p>
        </w:tc>
      </w:tr>
      <w:tr w:rsidR="00396CB5" w:rsidRPr="009A1FFC" w14:paraId="62FF876C" w14:textId="77777777" w:rsidTr="007D6452">
        <w:trPr>
          <w:gridAfter w:val="1"/>
          <w:wAfter w:w="18" w:type="dxa"/>
          <w:trHeight w:val="225"/>
          <w:jc w:val="center"/>
        </w:trPr>
        <w:tc>
          <w:tcPr>
            <w:tcW w:w="4304" w:type="dxa"/>
            <w:tcBorders>
              <w:top w:val="single" w:sz="4" w:space="0" w:color="7F7F7F"/>
              <w:left w:val="nil"/>
              <w:bottom w:val="single" w:sz="4" w:space="0" w:color="7F7F7F"/>
              <w:right w:val="nil"/>
            </w:tcBorders>
            <w:shd w:val="clear" w:color="000000" w:fill="FFF2CC"/>
            <w:noWrap/>
            <w:vAlign w:val="center"/>
            <w:hideMark/>
          </w:tcPr>
          <w:p w14:paraId="0F619148" w14:textId="77777777" w:rsidR="00396CB5" w:rsidRPr="009A1FFC" w:rsidRDefault="00396CB5" w:rsidP="007D6452">
            <w:pPr>
              <w:keepNext/>
              <w:rPr>
                <w:rFonts w:ascii="Arial" w:hAnsi="Arial" w:cs="Arial"/>
                <w:b/>
                <w:bCs/>
                <w:color w:val="000000"/>
                <w:sz w:val="16"/>
                <w:szCs w:val="16"/>
              </w:rPr>
            </w:pPr>
            <w:r w:rsidRPr="009A1FFC">
              <w:rPr>
                <w:rFonts w:ascii="Arial" w:hAnsi="Arial" w:cs="Arial"/>
                <w:b/>
                <w:bCs/>
                <w:color w:val="000000"/>
                <w:sz w:val="16"/>
                <w:szCs w:val="16"/>
              </w:rPr>
              <w:t xml:space="preserve">(Besoin) / Surplus cumulé - Après </w:t>
            </w:r>
            <w:proofErr w:type="spellStart"/>
            <w:r w:rsidRPr="009A1FFC">
              <w:rPr>
                <w:rFonts w:ascii="Arial" w:hAnsi="Arial" w:cs="Arial"/>
                <w:b/>
                <w:bCs/>
                <w:color w:val="000000"/>
                <w:sz w:val="16"/>
                <w:szCs w:val="16"/>
              </w:rPr>
              <w:t>act</w:t>
            </w:r>
            <w:proofErr w:type="spellEnd"/>
            <w:r w:rsidRPr="009A1FFC">
              <w:rPr>
                <w:rFonts w:ascii="Arial" w:hAnsi="Arial" w:cs="Arial"/>
                <w:b/>
                <w:bCs/>
                <w:color w:val="000000"/>
                <w:sz w:val="16"/>
                <w:szCs w:val="16"/>
              </w:rPr>
              <w:t>.</w:t>
            </w:r>
          </w:p>
        </w:tc>
        <w:tc>
          <w:tcPr>
            <w:tcW w:w="764" w:type="dxa"/>
            <w:tcBorders>
              <w:top w:val="single" w:sz="4" w:space="0" w:color="7F7F7F"/>
              <w:left w:val="nil"/>
              <w:bottom w:val="single" w:sz="4" w:space="0" w:color="7F7F7F"/>
              <w:right w:val="nil"/>
            </w:tcBorders>
            <w:shd w:val="clear" w:color="000000" w:fill="FFF2CC"/>
            <w:noWrap/>
            <w:vAlign w:val="center"/>
            <w:hideMark/>
          </w:tcPr>
          <w:p w14:paraId="2D0F307A"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 xml:space="preserve">4 124 </w:t>
            </w:r>
          </w:p>
        </w:tc>
        <w:tc>
          <w:tcPr>
            <w:tcW w:w="764" w:type="dxa"/>
            <w:tcBorders>
              <w:top w:val="single" w:sz="4" w:space="0" w:color="7F7F7F"/>
              <w:left w:val="nil"/>
              <w:bottom w:val="single" w:sz="4" w:space="0" w:color="7F7F7F"/>
              <w:right w:val="nil"/>
            </w:tcBorders>
            <w:shd w:val="clear" w:color="000000" w:fill="FFF2CC"/>
            <w:noWrap/>
            <w:vAlign w:val="center"/>
            <w:hideMark/>
          </w:tcPr>
          <w:p w14:paraId="3AC39070"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 xml:space="preserve">6 407 </w:t>
            </w:r>
          </w:p>
        </w:tc>
        <w:tc>
          <w:tcPr>
            <w:tcW w:w="764" w:type="dxa"/>
            <w:tcBorders>
              <w:top w:val="single" w:sz="4" w:space="0" w:color="7F7F7F"/>
              <w:left w:val="nil"/>
              <w:bottom w:val="single" w:sz="4" w:space="0" w:color="7F7F7F"/>
              <w:right w:val="nil"/>
            </w:tcBorders>
            <w:shd w:val="clear" w:color="000000" w:fill="FFF2CC"/>
            <w:noWrap/>
            <w:vAlign w:val="center"/>
            <w:hideMark/>
          </w:tcPr>
          <w:p w14:paraId="7B88E38A"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 xml:space="preserve">4 948 </w:t>
            </w:r>
          </w:p>
        </w:tc>
        <w:tc>
          <w:tcPr>
            <w:tcW w:w="804" w:type="dxa"/>
            <w:tcBorders>
              <w:top w:val="single" w:sz="4" w:space="0" w:color="7F7F7F"/>
              <w:left w:val="nil"/>
              <w:bottom w:val="single" w:sz="4" w:space="0" w:color="7F7F7F"/>
              <w:right w:val="nil"/>
            </w:tcBorders>
            <w:shd w:val="clear" w:color="000000" w:fill="FFF2CC"/>
            <w:noWrap/>
            <w:vAlign w:val="center"/>
            <w:hideMark/>
          </w:tcPr>
          <w:p w14:paraId="4D8E1094"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 xml:space="preserve">3 668 </w:t>
            </w:r>
          </w:p>
        </w:tc>
        <w:tc>
          <w:tcPr>
            <w:tcW w:w="804" w:type="dxa"/>
            <w:tcBorders>
              <w:top w:val="single" w:sz="4" w:space="0" w:color="7F7F7F"/>
              <w:left w:val="nil"/>
              <w:bottom w:val="single" w:sz="4" w:space="0" w:color="7F7F7F"/>
              <w:right w:val="nil"/>
            </w:tcBorders>
            <w:shd w:val="clear" w:color="000000" w:fill="FFF2CC"/>
            <w:noWrap/>
            <w:vAlign w:val="center"/>
            <w:hideMark/>
          </w:tcPr>
          <w:p w14:paraId="5E1EE9E3" w14:textId="77777777" w:rsidR="00396CB5" w:rsidRPr="009A1FFC" w:rsidRDefault="00396CB5" w:rsidP="007D6452">
            <w:pPr>
              <w:keepNext/>
              <w:jc w:val="right"/>
              <w:rPr>
                <w:rFonts w:ascii="Arial" w:hAnsi="Arial" w:cs="Arial"/>
                <w:b/>
                <w:bCs/>
                <w:color w:val="000000"/>
                <w:sz w:val="16"/>
                <w:szCs w:val="16"/>
              </w:rPr>
            </w:pPr>
            <w:r w:rsidRPr="009A1FFC">
              <w:rPr>
                <w:rFonts w:ascii="Arial" w:hAnsi="Arial" w:cs="Arial"/>
                <w:b/>
                <w:bCs/>
                <w:color w:val="000000"/>
                <w:sz w:val="16"/>
                <w:szCs w:val="16"/>
              </w:rPr>
              <w:t xml:space="preserve">999 </w:t>
            </w:r>
          </w:p>
        </w:tc>
      </w:tr>
    </w:tbl>
    <w:p w14:paraId="7FFB31E4" w14:textId="77777777" w:rsidR="00396CB5" w:rsidRDefault="00396CB5" w:rsidP="00396CB5">
      <w:pPr>
        <w:keepNext/>
        <w:spacing w:line="259" w:lineRule="auto"/>
        <w:jc w:val="center"/>
        <w:rPr>
          <w:rFonts w:ascii="Calibri" w:hAnsi="Calibri" w:cs="Calibri"/>
          <w:bCs/>
          <w:i/>
          <w:iCs/>
          <w:sz w:val="20"/>
          <w:szCs w:val="20"/>
          <w:highlight w:val="yellow"/>
        </w:rPr>
      </w:pPr>
    </w:p>
    <w:p w14:paraId="62B5FB1A" w14:textId="77777777" w:rsidR="00396CB5" w:rsidRPr="004160D0" w:rsidRDefault="00396CB5" w:rsidP="00396CB5">
      <w:pPr>
        <w:keepNext/>
        <w:spacing w:line="259" w:lineRule="auto"/>
        <w:jc w:val="center"/>
        <w:rPr>
          <w:rFonts w:ascii="Calibri" w:hAnsi="Calibri" w:cs="Calibri"/>
          <w:bCs/>
          <w:i/>
          <w:iCs/>
          <w:sz w:val="20"/>
          <w:szCs w:val="20"/>
        </w:rPr>
      </w:pPr>
      <w:r w:rsidRPr="00DA3DC3">
        <w:rPr>
          <w:rFonts w:ascii="Calibri" w:hAnsi="Calibri" w:cs="Calibri"/>
          <w:bCs/>
          <w:i/>
          <w:iCs/>
          <w:sz w:val="20"/>
          <w:szCs w:val="20"/>
        </w:rPr>
        <w:t xml:space="preserve">Extrait rapport </w:t>
      </w:r>
      <w:proofErr w:type="spellStart"/>
      <w:r w:rsidRPr="00DA3DC3">
        <w:rPr>
          <w:rFonts w:ascii="Calibri" w:hAnsi="Calibri" w:cs="Calibri"/>
          <w:bCs/>
          <w:i/>
          <w:iCs/>
          <w:sz w:val="20"/>
          <w:szCs w:val="20"/>
        </w:rPr>
        <w:t>Accuracy</w:t>
      </w:r>
      <w:proofErr w:type="spellEnd"/>
      <w:r w:rsidRPr="00DA3DC3">
        <w:rPr>
          <w:rFonts w:ascii="Calibri" w:hAnsi="Calibri" w:cs="Calibri"/>
          <w:bCs/>
          <w:i/>
          <w:iCs/>
          <w:sz w:val="20"/>
          <w:szCs w:val="20"/>
        </w:rPr>
        <w:t xml:space="preserve"> en date du </w:t>
      </w:r>
      <w:r>
        <w:rPr>
          <w:rFonts w:ascii="Calibri" w:hAnsi="Calibri" w:cs="Calibri"/>
          <w:bCs/>
          <w:i/>
          <w:iCs/>
          <w:sz w:val="20"/>
          <w:szCs w:val="20"/>
        </w:rPr>
        <w:t>25</w:t>
      </w:r>
      <w:r w:rsidRPr="00DA3DC3">
        <w:rPr>
          <w:rFonts w:ascii="Calibri" w:hAnsi="Calibri" w:cs="Calibri"/>
          <w:bCs/>
          <w:i/>
          <w:iCs/>
          <w:sz w:val="20"/>
          <w:szCs w:val="20"/>
        </w:rPr>
        <w:t xml:space="preserve"> février 2026</w:t>
      </w:r>
    </w:p>
    <w:p w14:paraId="7A6EF746" w14:textId="77777777" w:rsidR="00396CB5" w:rsidRDefault="00396CB5" w:rsidP="00396CB5">
      <w:pPr>
        <w:pStyle w:val="2MAJ-adresse"/>
      </w:pPr>
    </w:p>
    <w:p w14:paraId="0FC6E9D4" w14:textId="4309EA48" w:rsidR="00D57EE4" w:rsidRDefault="00D57EE4" w:rsidP="00D57EE4">
      <w:pPr>
        <w:pStyle w:val="2MAJ-paragraphe"/>
      </w:pPr>
      <w:r w:rsidRPr="00D57EE4">
        <w:lastRenderedPageBreak/>
        <w:t>Ainsi, concernant la société Tolbiac, cette dernière n’aurait aucun besoin de trésorerie devant être couvert par la convention de trésorerie lors de l’exécution de son projet de plan de redressement par voie de continuation.</w:t>
      </w:r>
    </w:p>
    <w:p w14:paraId="038703E2" w14:textId="77777777" w:rsidR="00D83AE9" w:rsidRDefault="00D83AE9" w:rsidP="00D83AE9">
      <w:pPr>
        <w:pStyle w:val="2MAJ-paragraphe"/>
      </w:pPr>
    </w:p>
    <w:p w14:paraId="6DACA547" w14:textId="77777777" w:rsidR="00D83AE9" w:rsidRPr="001103DE" w:rsidRDefault="00D83AE9" w:rsidP="00D83AE9">
      <w:pPr>
        <w:spacing w:line="259" w:lineRule="auto"/>
        <w:jc w:val="both"/>
        <w:rPr>
          <w:rFonts w:ascii="Calibri" w:hAnsi="Calibri" w:cs="Calibri"/>
          <w:sz w:val="22"/>
          <w:szCs w:val="22"/>
        </w:rPr>
      </w:pPr>
      <w:r w:rsidRPr="001103DE">
        <w:rPr>
          <w:rFonts w:ascii="Calibri" w:hAnsi="Calibri" w:cs="Calibri"/>
          <w:sz w:val="22"/>
          <w:szCs w:val="22"/>
        </w:rPr>
        <w:t>Une attestation annuelle sur le fonctionnement de la convention de trésorerie sera adressée par l’expert-comptable du Groupe au commissaire à l’exécution du plan. Cette attestation devra notamment détailler les flux intervenus au cours de la période considérée et confirmer leur conformité aux dispositions des plans de redressement des sociétés du Groupe qui seraient arrêtés par le Tribunal des activités économiques de Paris et à la convention de trésorerie à conclure.</w:t>
      </w:r>
    </w:p>
    <w:p w14:paraId="134D8D22" w14:textId="77777777" w:rsidR="00D83AE9" w:rsidRPr="001103DE" w:rsidRDefault="00D83AE9" w:rsidP="00D83AE9">
      <w:pPr>
        <w:spacing w:line="259" w:lineRule="auto"/>
        <w:jc w:val="both"/>
        <w:rPr>
          <w:rFonts w:ascii="Calibri" w:hAnsi="Calibri" w:cs="Calibri"/>
          <w:sz w:val="22"/>
          <w:szCs w:val="22"/>
        </w:rPr>
      </w:pPr>
    </w:p>
    <w:p w14:paraId="212BFA0A" w14:textId="77777777" w:rsidR="00D83AE9" w:rsidRDefault="00D83AE9" w:rsidP="00D83AE9">
      <w:pPr>
        <w:spacing w:line="259" w:lineRule="auto"/>
        <w:jc w:val="both"/>
        <w:rPr>
          <w:rFonts w:ascii="Calibri" w:hAnsi="Calibri" w:cs="Calibri"/>
          <w:sz w:val="22"/>
          <w:szCs w:val="22"/>
        </w:rPr>
      </w:pPr>
      <w:r w:rsidRPr="001103DE">
        <w:rPr>
          <w:rFonts w:ascii="Calibri" w:hAnsi="Calibri" w:cs="Calibri"/>
          <w:sz w:val="22"/>
          <w:szCs w:val="22"/>
        </w:rPr>
        <w:t>Par exception, une attestation trimestrielle devra être adressée par l’expert-comptable du Groupe au commissaire à l’exécution du plan dans l’hypothèse dans laquelle des remontées de trésorerie trimestrielles seraient rendues nécessaires et ce préalablement à la réalisation desdites remontées de trésorerie. Cette attestation devra notamment détailler les flux trimestriels sollicités et confirmer leur conformité aux dispositions des plans de redressement des sociétés du Groupe qui seraient arrêtés par le Tribunal des activités économiques de Paris et à la convention de trésorerie à conclure.</w:t>
      </w:r>
    </w:p>
    <w:p w14:paraId="6B08B8C1" w14:textId="5F99925C" w:rsidR="008D219B" w:rsidRDefault="008D219B" w:rsidP="00DC528B">
      <w:pPr>
        <w:spacing w:line="259" w:lineRule="auto"/>
        <w:rPr>
          <w:rFonts w:ascii="Calibri" w:hAnsi="Calibri" w:cs="Calibri"/>
          <w:b/>
          <w:sz w:val="22"/>
          <w:szCs w:val="22"/>
        </w:rPr>
      </w:pPr>
    </w:p>
    <w:p w14:paraId="2BEA43D6" w14:textId="77777777" w:rsidR="00207EBA" w:rsidRDefault="00207EBA">
      <w:pPr>
        <w:spacing w:after="160" w:line="259" w:lineRule="auto"/>
        <w:rPr>
          <w:rFonts w:ascii="Calibri" w:hAnsi="Calibri" w:cs="Calibri"/>
          <w:b/>
          <w:sz w:val="22"/>
          <w:szCs w:val="22"/>
        </w:rPr>
      </w:pPr>
      <w:r>
        <w:rPr>
          <w:rFonts w:ascii="Calibri" w:hAnsi="Calibri" w:cs="Calibri"/>
          <w:b/>
          <w:sz w:val="22"/>
          <w:szCs w:val="22"/>
        </w:rPr>
        <w:br w:type="page"/>
      </w:r>
    </w:p>
    <w:p w14:paraId="77C66F0D" w14:textId="6350C033" w:rsidR="00AA5855" w:rsidRPr="00E311AF" w:rsidRDefault="00AA5855" w:rsidP="002342B3">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41" w:name="_Toc222908296"/>
      <w:r w:rsidRPr="00E311AF">
        <w:rPr>
          <w:rFonts w:ascii="Calibri" w:hAnsi="Calibri" w:cs="Calibri"/>
          <w:b/>
          <w:sz w:val="22"/>
          <w:szCs w:val="22"/>
        </w:rPr>
        <w:lastRenderedPageBreak/>
        <w:t>PREVISION D’EXPLOITATION SUR LA DUREE DU PROJET DE PLAN DE REDRESSEMENT</w:t>
      </w:r>
      <w:bookmarkEnd w:id="39"/>
      <w:bookmarkEnd w:id="41"/>
      <w:r w:rsidRPr="00E311AF">
        <w:rPr>
          <w:rFonts w:ascii="Calibri" w:hAnsi="Calibri" w:cs="Calibri"/>
          <w:b/>
          <w:sz w:val="22"/>
          <w:szCs w:val="22"/>
        </w:rPr>
        <w:t xml:space="preserve"> </w:t>
      </w:r>
    </w:p>
    <w:bookmarkEnd w:id="35"/>
    <w:p w14:paraId="129F30CC" w14:textId="77777777" w:rsidR="00AA5855" w:rsidRPr="00AA5855" w:rsidRDefault="00AA5855" w:rsidP="00AA5855">
      <w:pPr>
        <w:jc w:val="both"/>
        <w:rPr>
          <w:rFonts w:ascii="Calibri" w:hAnsi="Calibri" w:cs="Calibri"/>
          <w:sz w:val="22"/>
          <w:szCs w:val="22"/>
        </w:rPr>
      </w:pPr>
    </w:p>
    <w:p w14:paraId="6D21FF3E" w14:textId="3005F4D2" w:rsidR="008B333E" w:rsidRPr="00003E07" w:rsidRDefault="008B333E" w:rsidP="008B333E">
      <w:pPr>
        <w:numPr>
          <w:ilvl w:val="12"/>
          <w:numId w:val="0"/>
        </w:numPr>
        <w:jc w:val="both"/>
        <w:rPr>
          <w:rFonts w:ascii="Calibri" w:hAnsi="Calibri" w:cs="Calibri"/>
          <w:sz w:val="22"/>
          <w:szCs w:val="22"/>
        </w:rPr>
      </w:pPr>
      <w:bookmarkStart w:id="42" w:name="_Hlk209523293"/>
      <w:r w:rsidRPr="00003E07">
        <w:rPr>
          <w:rFonts w:ascii="Calibri" w:hAnsi="Calibri" w:cs="Calibri"/>
          <w:sz w:val="22"/>
          <w:szCs w:val="22"/>
        </w:rPr>
        <w:t xml:space="preserve">La prévision d’exploitation annuelle sur la durée du projet de plan, établie </w:t>
      </w:r>
      <w:r w:rsidR="00A82B37">
        <w:rPr>
          <w:rFonts w:ascii="Calibri" w:hAnsi="Calibri" w:cs="Calibri"/>
          <w:sz w:val="22"/>
          <w:szCs w:val="22"/>
        </w:rPr>
        <w:t xml:space="preserve">par le management et </w:t>
      </w:r>
      <w:r w:rsidR="00144160">
        <w:rPr>
          <w:rFonts w:ascii="Calibri" w:hAnsi="Calibri" w:cs="Calibri"/>
          <w:sz w:val="22"/>
          <w:szCs w:val="22"/>
        </w:rPr>
        <w:t>revue</w:t>
      </w:r>
      <w:r w:rsidR="00144160" w:rsidRPr="00003E07">
        <w:rPr>
          <w:rFonts w:ascii="Calibri" w:hAnsi="Calibri" w:cs="Calibri"/>
          <w:sz w:val="22"/>
          <w:szCs w:val="22"/>
        </w:rPr>
        <w:t xml:space="preserve"> </w:t>
      </w:r>
      <w:r w:rsidRPr="00003E07">
        <w:rPr>
          <w:rFonts w:ascii="Calibri" w:hAnsi="Calibri" w:cs="Calibri"/>
          <w:sz w:val="22"/>
          <w:szCs w:val="22"/>
        </w:rPr>
        <w:t xml:space="preserve">par le cabinet </w:t>
      </w:r>
      <w:proofErr w:type="spellStart"/>
      <w:r w:rsidRPr="00003E07">
        <w:rPr>
          <w:rFonts w:ascii="Calibri" w:hAnsi="Calibri" w:cs="Calibri"/>
          <w:sz w:val="22"/>
          <w:szCs w:val="22"/>
        </w:rPr>
        <w:t>Accuracy</w:t>
      </w:r>
      <w:proofErr w:type="spellEnd"/>
      <w:r w:rsidRPr="00003E07">
        <w:rPr>
          <w:rFonts w:ascii="Calibri" w:hAnsi="Calibri" w:cs="Calibri"/>
          <w:sz w:val="22"/>
          <w:szCs w:val="22"/>
        </w:rPr>
        <w:t>, est reproduite ci-après.</w:t>
      </w:r>
    </w:p>
    <w:p w14:paraId="5EC7A7A8" w14:textId="6D63CC8E" w:rsidR="00AA5855" w:rsidRPr="00003E07" w:rsidRDefault="00AA5855" w:rsidP="0038464E">
      <w:pPr>
        <w:numPr>
          <w:ilvl w:val="12"/>
          <w:numId w:val="0"/>
        </w:numPr>
        <w:jc w:val="both"/>
        <w:rPr>
          <w:rFonts w:ascii="Calibri" w:hAnsi="Calibri" w:cs="Calibri"/>
          <w:sz w:val="22"/>
          <w:szCs w:val="22"/>
        </w:rPr>
      </w:pPr>
    </w:p>
    <w:p w14:paraId="2C68C0DA" w14:textId="1F06C949" w:rsidR="00003E07" w:rsidRPr="00003E07" w:rsidRDefault="005B079B" w:rsidP="00B26375">
      <w:pPr>
        <w:overflowPunct w:val="0"/>
        <w:autoSpaceDE w:val="0"/>
        <w:autoSpaceDN w:val="0"/>
        <w:adjustRightInd w:val="0"/>
        <w:jc w:val="both"/>
        <w:textAlignment w:val="baseline"/>
        <w:rPr>
          <w:rFonts w:ascii="Calibri" w:hAnsi="Calibri" w:cs="Calibri"/>
          <w:sz w:val="22"/>
          <w:szCs w:val="22"/>
        </w:rPr>
      </w:pPr>
      <w:r w:rsidRPr="005B079B">
        <w:rPr>
          <w:rFonts w:ascii="Calibri" w:hAnsi="Calibri" w:cs="Calibri"/>
          <w:sz w:val="22"/>
          <w:szCs w:val="22"/>
        </w:rPr>
        <w:t xml:space="preserve">Pour mémoire, la Société </w:t>
      </w:r>
      <w:r w:rsidR="00BE1B37" w:rsidRPr="00BE1B37">
        <w:rPr>
          <w:rFonts w:ascii="Calibri" w:hAnsi="Calibri" w:cs="Calibri"/>
          <w:sz w:val="22"/>
          <w:szCs w:val="22"/>
        </w:rPr>
        <w:t>détient deux actifs immobiliers situés à Paris, dans le 13ème arrondissement, correspondant à deux locaux commerciaux.</w:t>
      </w:r>
      <w:r>
        <w:rPr>
          <w:rFonts w:ascii="Calibri" w:hAnsi="Calibri" w:cs="Calibri"/>
          <w:sz w:val="22"/>
          <w:szCs w:val="22"/>
        </w:rPr>
        <w:t xml:space="preserve"> De ce fait, la prévision d’exploitation tien</w:t>
      </w:r>
      <w:r w:rsidR="00003E07" w:rsidRPr="00003E07">
        <w:rPr>
          <w:rFonts w:ascii="Calibri" w:hAnsi="Calibri" w:cs="Calibri"/>
          <w:sz w:val="22"/>
          <w:szCs w:val="22"/>
        </w:rPr>
        <w:t>t compte des hypothèses suivantes :</w:t>
      </w:r>
    </w:p>
    <w:p w14:paraId="1C18FFE0" w14:textId="77777777" w:rsidR="00786380" w:rsidRPr="00214B18" w:rsidRDefault="00786380" w:rsidP="00786380">
      <w:pPr>
        <w:pStyle w:val="Paragraphedeliste"/>
        <w:numPr>
          <w:ilvl w:val="0"/>
          <w:numId w:val="4"/>
        </w:numPr>
        <w:overflowPunct w:val="0"/>
        <w:autoSpaceDE w:val="0"/>
        <w:autoSpaceDN w:val="0"/>
        <w:adjustRightInd w:val="0"/>
        <w:spacing w:before="120"/>
        <w:ind w:left="567" w:hanging="357"/>
        <w:contextualSpacing w:val="0"/>
        <w:jc w:val="both"/>
        <w:textAlignment w:val="baseline"/>
        <w:rPr>
          <w:rFonts w:ascii="Calibri" w:hAnsi="Calibri" w:cs="Calibri"/>
          <w:sz w:val="22"/>
          <w:szCs w:val="22"/>
        </w:rPr>
      </w:pPr>
      <w:r w:rsidRPr="00DA433E">
        <w:rPr>
          <w:rFonts w:ascii="Calibri" w:hAnsi="Calibri" w:cs="Calibri"/>
          <w:i/>
          <w:iCs/>
          <w:sz w:val="22"/>
          <w:szCs w:val="22"/>
        </w:rPr>
        <w:t xml:space="preserve">Il convient de préciser qu’une année financière est désignée FY et correspond à la période s’étalant de fin </w:t>
      </w:r>
      <w:r>
        <w:rPr>
          <w:rFonts w:ascii="Calibri" w:hAnsi="Calibri" w:cs="Calibri"/>
          <w:i/>
          <w:iCs/>
          <w:sz w:val="22"/>
          <w:szCs w:val="22"/>
        </w:rPr>
        <w:t>janvier</w:t>
      </w:r>
      <w:r w:rsidRPr="00DA433E">
        <w:rPr>
          <w:rFonts w:ascii="Calibri" w:hAnsi="Calibri" w:cs="Calibri"/>
          <w:i/>
          <w:iCs/>
          <w:sz w:val="22"/>
          <w:szCs w:val="22"/>
        </w:rPr>
        <w:t xml:space="preserve"> N à fin </w:t>
      </w:r>
      <w:r>
        <w:rPr>
          <w:rFonts w:ascii="Calibri" w:hAnsi="Calibri" w:cs="Calibri"/>
          <w:i/>
          <w:iCs/>
          <w:sz w:val="22"/>
          <w:szCs w:val="22"/>
        </w:rPr>
        <w:t>janvier</w:t>
      </w:r>
      <w:r w:rsidRPr="00DA433E">
        <w:rPr>
          <w:rFonts w:ascii="Calibri" w:hAnsi="Calibri" w:cs="Calibri"/>
          <w:i/>
          <w:iCs/>
          <w:sz w:val="22"/>
          <w:szCs w:val="22"/>
        </w:rPr>
        <w:t xml:space="preserve"> N+1 (i.e. FY27 correspond à la période</w:t>
      </w:r>
      <w:r>
        <w:rPr>
          <w:rFonts w:ascii="Calibri" w:hAnsi="Calibri" w:cs="Calibri"/>
          <w:i/>
          <w:iCs/>
          <w:sz w:val="22"/>
          <w:szCs w:val="22"/>
        </w:rPr>
        <w:t xml:space="preserve"> fin</w:t>
      </w:r>
      <w:r w:rsidRPr="00DA433E">
        <w:rPr>
          <w:rFonts w:ascii="Calibri" w:hAnsi="Calibri" w:cs="Calibri"/>
          <w:i/>
          <w:iCs/>
          <w:sz w:val="22"/>
          <w:szCs w:val="22"/>
        </w:rPr>
        <w:t xml:space="preserve"> </w:t>
      </w:r>
      <w:r>
        <w:rPr>
          <w:rFonts w:ascii="Calibri" w:hAnsi="Calibri" w:cs="Calibri"/>
          <w:i/>
          <w:iCs/>
          <w:sz w:val="22"/>
          <w:szCs w:val="22"/>
        </w:rPr>
        <w:t>janvier</w:t>
      </w:r>
      <w:r w:rsidRPr="00DA433E">
        <w:rPr>
          <w:rFonts w:ascii="Calibri" w:hAnsi="Calibri" w:cs="Calibri"/>
          <w:i/>
          <w:iCs/>
          <w:sz w:val="22"/>
          <w:szCs w:val="22"/>
        </w:rPr>
        <w:t xml:space="preserve"> 2026 à </w:t>
      </w:r>
      <w:r>
        <w:rPr>
          <w:rFonts w:ascii="Calibri" w:hAnsi="Calibri" w:cs="Calibri"/>
          <w:i/>
          <w:iCs/>
          <w:sz w:val="22"/>
          <w:szCs w:val="22"/>
        </w:rPr>
        <w:t>fin janvier</w:t>
      </w:r>
      <w:r w:rsidRPr="00DA433E">
        <w:rPr>
          <w:rFonts w:ascii="Calibri" w:hAnsi="Calibri" w:cs="Calibri"/>
          <w:i/>
          <w:iCs/>
          <w:sz w:val="22"/>
          <w:szCs w:val="22"/>
        </w:rPr>
        <w:t xml:space="preserve"> 2027)</w:t>
      </w:r>
      <w:r>
        <w:rPr>
          <w:rFonts w:ascii="Calibri" w:hAnsi="Calibri" w:cs="Calibri"/>
          <w:sz w:val="22"/>
          <w:szCs w:val="22"/>
        </w:rPr>
        <w:t>.</w:t>
      </w:r>
    </w:p>
    <w:p w14:paraId="36758AD6" w14:textId="0D5FDE18" w:rsidR="00EE2104" w:rsidRPr="00EE2104" w:rsidRDefault="007A1532" w:rsidP="00EE2104">
      <w:pPr>
        <w:pStyle w:val="Paragraphedeliste"/>
        <w:numPr>
          <w:ilvl w:val="0"/>
          <w:numId w:val="4"/>
        </w:numPr>
        <w:overflowPunct w:val="0"/>
        <w:autoSpaceDE w:val="0"/>
        <w:autoSpaceDN w:val="0"/>
        <w:adjustRightInd w:val="0"/>
        <w:spacing w:before="120"/>
        <w:ind w:left="567" w:hanging="357"/>
        <w:contextualSpacing w:val="0"/>
        <w:jc w:val="both"/>
        <w:textAlignment w:val="baseline"/>
        <w:rPr>
          <w:rFonts w:ascii="Calibri" w:hAnsi="Calibri" w:cs="Calibri"/>
          <w:sz w:val="22"/>
          <w:szCs w:val="22"/>
        </w:rPr>
      </w:pPr>
      <w:r w:rsidRPr="005B079B">
        <w:rPr>
          <w:rFonts w:ascii="Calibri" w:hAnsi="Calibri" w:cs="Calibri"/>
          <w:b/>
          <w:bCs/>
          <w:sz w:val="22"/>
          <w:szCs w:val="22"/>
        </w:rPr>
        <w:t>Sur le chiffre d’affaires</w:t>
      </w:r>
      <w:r w:rsidRPr="005B079B">
        <w:rPr>
          <w:rFonts w:ascii="Calibri" w:hAnsi="Calibri" w:cs="Calibri"/>
          <w:sz w:val="22"/>
          <w:szCs w:val="22"/>
        </w:rPr>
        <w:t xml:space="preserve"> : </w:t>
      </w:r>
      <w:r w:rsidR="006621F0">
        <w:rPr>
          <w:rFonts w:ascii="Calibri" w:hAnsi="Calibri" w:cs="Calibri"/>
          <w:sz w:val="22"/>
          <w:szCs w:val="22"/>
        </w:rPr>
        <w:t>chiffre d’affaires de 2</w:t>
      </w:r>
      <w:r w:rsidR="00D61447">
        <w:rPr>
          <w:rFonts w:ascii="Calibri" w:hAnsi="Calibri" w:cs="Calibri"/>
          <w:sz w:val="22"/>
          <w:szCs w:val="22"/>
        </w:rPr>
        <w:t>8</w:t>
      </w:r>
      <w:r w:rsidR="00786380">
        <w:rPr>
          <w:rFonts w:ascii="Calibri" w:hAnsi="Calibri" w:cs="Calibri"/>
          <w:sz w:val="22"/>
          <w:szCs w:val="22"/>
        </w:rPr>
        <w:t>k</w:t>
      </w:r>
      <w:r w:rsidR="006621F0">
        <w:rPr>
          <w:rFonts w:ascii="Calibri" w:hAnsi="Calibri" w:cs="Calibri"/>
          <w:sz w:val="22"/>
          <w:szCs w:val="22"/>
        </w:rPr>
        <w:t xml:space="preserve">€ en FY27 puis </w:t>
      </w:r>
      <w:r w:rsidR="009A5E64">
        <w:rPr>
          <w:rFonts w:ascii="Calibri" w:hAnsi="Calibri" w:cs="Calibri"/>
          <w:sz w:val="22"/>
          <w:szCs w:val="22"/>
        </w:rPr>
        <w:t xml:space="preserve">augmentation de 2% </w:t>
      </w:r>
      <w:r w:rsidR="00EE2104">
        <w:rPr>
          <w:rFonts w:ascii="Calibri" w:hAnsi="Calibri" w:cs="Calibri"/>
          <w:sz w:val="22"/>
          <w:szCs w:val="22"/>
        </w:rPr>
        <w:t xml:space="preserve">jusqu’à la fin du plan (31k€ en </w:t>
      </w:r>
      <w:r w:rsidR="006072B0">
        <w:rPr>
          <w:rFonts w:ascii="Calibri" w:hAnsi="Calibri" w:cs="Calibri"/>
          <w:sz w:val="22"/>
          <w:szCs w:val="22"/>
        </w:rPr>
        <w:t>FY31)</w:t>
      </w:r>
    </w:p>
    <w:p w14:paraId="48B4ED88" w14:textId="77777777" w:rsidR="007A1532" w:rsidRPr="00003E07" w:rsidRDefault="007A1532" w:rsidP="007A1532">
      <w:pPr>
        <w:pStyle w:val="Paragraphedeliste"/>
        <w:numPr>
          <w:ilvl w:val="0"/>
          <w:numId w:val="4"/>
        </w:numPr>
        <w:overflowPunct w:val="0"/>
        <w:autoSpaceDE w:val="0"/>
        <w:autoSpaceDN w:val="0"/>
        <w:adjustRightInd w:val="0"/>
        <w:spacing w:before="120"/>
        <w:ind w:left="567" w:hanging="357"/>
        <w:contextualSpacing w:val="0"/>
        <w:jc w:val="both"/>
        <w:textAlignment w:val="baseline"/>
        <w:rPr>
          <w:rFonts w:ascii="Calibri" w:hAnsi="Calibri" w:cs="Calibri"/>
          <w:sz w:val="22"/>
          <w:szCs w:val="22"/>
        </w:rPr>
      </w:pPr>
      <w:r w:rsidRPr="00003E07">
        <w:rPr>
          <w:rFonts w:ascii="Calibri" w:hAnsi="Calibri" w:cs="Calibri"/>
          <w:b/>
          <w:bCs/>
          <w:sz w:val="22"/>
          <w:szCs w:val="22"/>
        </w:rPr>
        <w:t>Sur les charges</w:t>
      </w:r>
      <w:r w:rsidRPr="00003E07">
        <w:rPr>
          <w:rFonts w:ascii="Calibri" w:hAnsi="Calibri" w:cs="Calibri"/>
          <w:sz w:val="22"/>
          <w:szCs w:val="22"/>
        </w:rPr>
        <w:t> :</w:t>
      </w:r>
    </w:p>
    <w:p w14:paraId="5FA7356E" w14:textId="12A79263" w:rsidR="007A1532" w:rsidRDefault="007A1532" w:rsidP="007A1532">
      <w:pPr>
        <w:pStyle w:val="Paragraphedeliste"/>
        <w:numPr>
          <w:ilvl w:val="1"/>
          <w:numId w:val="4"/>
        </w:numPr>
        <w:overflowPunct w:val="0"/>
        <w:autoSpaceDE w:val="0"/>
        <w:autoSpaceDN w:val="0"/>
        <w:adjustRightInd w:val="0"/>
        <w:spacing w:before="120"/>
        <w:ind w:left="993"/>
        <w:contextualSpacing w:val="0"/>
        <w:jc w:val="both"/>
        <w:textAlignment w:val="baseline"/>
        <w:rPr>
          <w:rFonts w:ascii="Calibri" w:hAnsi="Calibri" w:cs="Calibri"/>
          <w:sz w:val="22"/>
          <w:szCs w:val="22"/>
        </w:rPr>
      </w:pPr>
      <w:r w:rsidRPr="00BA4D43">
        <w:rPr>
          <w:rFonts w:ascii="Calibri" w:hAnsi="Calibri" w:cs="Calibri"/>
          <w:sz w:val="22"/>
          <w:szCs w:val="22"/>
          <w:u w:val="single"/>
        </w:rPr>
        <w:t>Maintenance</w:t>
      </w:r>
      <w:r>
        <w:rPr>
          <w:rFonts w:ascii="Calibri" w:hAnsi="Calibri" w:cs="Calibri"/>
          <w:sz w:val="22"/>
          <w:szCs w:val="22"/>
        </w:rPr>
        <w:t xml:space="preserve"> : estimation </w:t>
      </w:r>
      <w:r w:rsidR="00756BF2">
        <w:rPr>
          <w:rFonts w:ascii="Calibri" w:hAnsi="Calibri" w:cs="Calibri"/>
          <w:sz w:val="22"/>
          <w:szCs w:val="22"/>
        </w:rPr>
        <w:t>de</w:t>
      </w:r>
      <w:r>
        <w:rPr>
          <w:rFonts w:ascii="Calibri" w:hAnsi="Calibri" w:cs="Calibri"/>
          <w:sz w:val="22"/>
          <w:szCs w:val="22"/>
        </w:rPr>
        <w:t xml:space="preserve"> 5% </w:t>
      </w:r>
      <w:r w:rsidR="00170458">
        <w:rPr>
          <w:rFonts w:ascii="Calibri" w:hAnsi="Calibri" w:cs="Calibri"/>
          <w:sz w:val="22"/>
          <w:szCs w:val="22"/>
        </w:rPr>
        <w:t>du chiffre d’affaires</w:t>
      </w:r>
      <w:r>
        <w:rPr>
          <w:rFonts w:ascii="Calibri" w:hAnsi="Calibri" w:cs="Calibri"/>
          <w:sz w:val="22"/>
          <w:szCs w:val="22"/>
        </w:rPr>
        <w:t xml:space="preserve"> générés par la Société, suivant les données historiques de 2024.</w:t>
      </w:r>
    </w:p>
    <w:p w14:paraId="68D21183" w14:textId="270A069B" w:rsidR="007A1532" w:rsidRDefault="007A1532" w:rsidP="007A1532">
      <w:pPr>
        <w:pStyle w:val="Paragraphedeliste"/>
        <w:numPr>
          <w:ilvl w:val="1"/>
          <w:numId w:val="4"/>
        </w:numPr>
        <w:overflowPunct w:val="0"/>
        <w:autoSpaceDE w:val="0"/>
        <w:autoSpaceDN w:val="0"/>
        <w:adjustRightInd w:val="0"/>
        <w:spacing w:before="120"/>
        <w:ind w:left="993"/>
        <w:contextualSpacing w:val="0"/>
        <w:jc w:val="both"/>
        <w:textAlignment w:val="baseline"/>
        <w:rPr>
          <w:rFonts w:ascii="Calibri" w:hAnsi="Calibri" w:cs="Calibri"/>
          <w:sz w:val="22"/>
          <w:szCs w:val="22"/>
        </w:rPr>
      </w:pPr>
      <w:r>
        <w:rPr>
          <w:rFonts w:ascii="Calibri" w:hAnsi="Calibri" w:cs="Calibri"/>
          <w:sz w:val="22"/>
          <w:szCs w:val="22"/>
          <w:u w:val="single"/>
        </w:rPr>
        <w:t>Autres frais généraux</w:t>
      </w:r>
      <w:r>
        <w:rPr>
          <w:rFonts w:ascii="Calibri" w:hAnsi="Calibri" w:cs="Calibri"/>
          <w:sz w:val="22"/>
          <w:szCs w:val="22"/>
        </w:rPr>
        <w:t xml:space="preserve"> : </w:t>
      </w:r>
      <w:r w:rsidR="004D635E">
        <w:rPr>
          <w:rFonts w:ascii="Calibri" w:hAnsi="Calibri" w:cs="Calibri"/>
          <w:sz w:val="22"/>
          <w:szCs w:val="22"/>
        </w:rPr>
        <w:t xml:space="preserve">estimation à </w:t>
      </w:r>
      <w:r w:rsidR="00C42470">
        <w:rPr>
          <w:rFonts w:ascii="Calibri" w:hAnsi="Calibri" w:cs="Calibri"/>
          <w:sz w:val="22"/>
          <w:szCs w:val="22"/>
        </w:rPr>
        <w:t>1</w:t>
      </w:r>
      <w:r w:rsidR="004D635E">
        <w:rPr>
          <w:rFonts w:ascii="Calibri" w:hAnsi="Calibri" w:cs="Calibri"/>
          <w:sz w:val="22"/>
          <w:szCs w:val="22"/>
        </w:rPr>
        <w:t>4% du chiffre d’affaires</w:t>
      </w:r>
      <w:r>
        <w:rPr>
          <w:rFonts w:ascii="Calibri" w:hAnsi="Calibri" w:cs="Calibri"/>
          <w:sz w:val="22"/>
          <w:szCs w:val="22"/>
        </w:rPr>
        <w:t>.</w:t>
      </w:r>
    </w:p>
    <w:p w14:paraId="5DF6AFB2" w14:textId="77777777" w:rsidR="007A1532" w:rsidRPr="00E11146" w:rsidRDefault="007A1532" w:rsidP="007A1532">
      <w:pPr>
        <w:pStyle w:val="Paragraphedeliste"/>
        <w:numPr>
          <w:ilvl w:val="1"/>
          <w:numId w:val="4"/>
        </w:numPr>
        <w:overflowPunct w:val="0"/>
        <w:autoSpaceDE w:val="0"/>
        <w:autoSpaceDN w:val="0"/>
        <w:adjustRightInd w:val="0"/>
        <w:spacing w:before="120"/>
        <w:ind w:left="993"/>
        <w:contextualSpacing w:val="0"/>
        <w:jc w:val="both"/>
        <w:textAlignment w:val="baseline"/>
        <w:rPr>
          <w:rFonts w:ascii="Calibri" w:hAnsi="Calibri" w:cs="Calibri"/>
          <w:sz w:val="22"/>
          <w:szCs w:val="22"/>
        </w:rPr>
      </w:pPr>
      <w:r w:rsidRPr="00E11146">
        <w:rPr>
          <w:rFonts w:ascii="Calibri" w:hAnsi="Calibri" w:cs="Calibri"/>
          <w:sz w:val="22"/>
          <w:szCs w:val="22"/>
          <w:u w:val="single"/>
        </w:rPr>
        <w:t xml:space="preserve">Management </w:t>
      </w:r>
      <w:proofErr w:type="spellStart"/>
      <w:r w:rsidRPr="00E11146">
        <w:rPr>
          <w:rFonts w:ascii="Calibri" w:hAnsi="Calibri" w:cs="Calibri"/>
          <w:sz w:val="22"/>
          <w:szCs w:val="22"/>
          <w:u w:val="single"/>
        </w:rPr>
        <w:t>fees</w:t>
      </w:r>
      <w:proofErr w:type="spellEnd"/>
      <w:r w:rsidRPr="00E11146">
        <w:rPr>
          <w:rFonts w:ascii="Calibri" w:hAnsi="Calibri" w:cs="Calibri"/>
          <w:sz w:val="22"/>
          <w:szCs w:val="22"/>
          <w:u w:val="single"/>
        </w:rPr>
        <w:t xml:space="preserve"> refacturés par HFI à ses filiales</w:t>
      </w:r>
      <w:r w:rsidRPr="00E11146">
        <w:rPr>
          <w:rFonts w:ascii="Calibri" w:hAnsi="Calibri" w:cs="Calibri"/>
          <w:sz w:val="22"/>
          <w:szCs w:val="22"/>
        </w:rPr>
        <w:t> : égale répartition sur les douze mois de l’année et taux de croissance annuelle de 2,25%.</w:t>
      </w:r>
    </w:p>
    <w:p w14:paraId="5BBF2916" w14:textId="021A9BBA" w:rsidR="007A1532" w:rsidRDefault="007A1532" w:rsidP="007A1532">
      <w:pPr>
        <w:pStyle w:val="Paragraphedeliste"/>
        <w:overflowPunct w:val="0"/>
        <w:autoSpaceDE w:val="0"/>
        <w:autoSpaceDN w:val="0"/>
        <w:adjustRightInd w:val="0"/>
        <w:spacing w:before="120"/>
        <w:ind w:left="993"/>
        <w:contextualSpacing w:val="0"/>
        <w:jc w:val="both"/>
        <w:textAlignment w:val="baseline"/>
        <w:rPr>
          <w:rFonts w:ascii="Calibri" w:hAnsi="Calibri" w:cs="Calibri"/>
          <w:sz w:val="22"/>
          <w:szCs w:val="22"/>
        </w:rPr>
      </w:pPr>
      <w:r w:rsidRPr="00DC528B">
        <w:rPr>
          <w:rFonts w:ascii="Calibri" w:hAnsi="Calibri" w:cs="Calibri"/>
          <w:sz w:val="22"/>
          <w:szCs w:val="22"/>
        </w:rPr>
        <w:t xml:space="preserve">Ils sont alloués suivant une clé de répartition établie par le management. Concernant la Société, cette dernière porte </w:t>
      </w:r>
      <w:r w:rsidR="0082013B" w:rsidRPr="00A134C1">
        <w:rPr>
          <w:rFonts w:ascii="Calibri" w:hAnsi="Calibri" w:cs="Calibri"/>
          <w:b/>
          <w:bCs/>
          <w:sz w:val="22"/>
          <w:szCs w:val="22"/>
        </w:rPr>
        <w:t>0,</w:t>
      </w:r>
      <w:r w:rsidR="00C74F8B" w:rsidRPr="00A134C1">
        <w:rPr>
          <w:rFonts w:ascii="Calibri" w:hAnsi="Calibri" w:cs="Calibri"/>
          <w:b/>
          <w:bCs/>
          <w:sz w:val="22"/>
          <w:szCs w:val="22"/>
        </w:rPr>
        <w:t>5</w:t>
      </w:r>
      <w:r w:rsidRPr="00A134C1">
        <w:rPr>
          <w:rFonts w:ascii="Calibri" w:hAnsi="Calibri" w:cs="Calibri"/>
          <w:b/>
          <w:bCs/>
          <w:sz w:val="22"/>
          <w:szCs w:val="22"/>
        </w:rPr>
        <w:t>% du total</w:t>
      </w:r>
      <w:r w:rsidRPr="00DC528B">
        <w:rPr>
          <w:rFonts w:ascii="Calibri" w:hAnsi="Calibri" w:cs="Calibri"/>
          <w:sz w:val="22"/>
          <w:szCs w:val="22"/>
        </w:rPr>
        <w:t>.</w:t>
      </w:r>
    </w:p>
    <w:p w14:paraId="4F9820A2" w14:textId="0CF58C5F" w:rsidR="007A1532" w:rsidRPr="00207A31" w:rsidRDefault="007A1532" w:rsidP="007A1532">
      <w:pPr>
        <w:pStyle w:val="Paragraphedeliste"/>
        <w:numPr>
          <w:ilvl w:val="1"/>
          <w:numId w:val="4"/>
        </w:numPr>
        <w:overflowPunct w:val="0"/>
        <w:autoSpaceDE w:val="0"/>
        <w:autoSpaceDN w:val="0"/>
        <w:adjustRightInd w:val="0"/>
        <w:spacing w:before="120"/>
        <w:ind w:left="993"/>
        <w:contextualSpacing w:val="0"/>
        <w:jc w:val="both"/>
        <w:textAlignment w:val="baseline"/>
        <w:rPr>
          <w:rFonts w:ascii="Calibri" w:hAnsi="Calibri" w:cs="Calibri"/>
          <w:sz w:val="22"/>
          <w:szCs w:val="22"/>
        </w:rPr>
      </w:pPr>
      <w:r w:rsidRPr="00207A31">
        <w:rPr>
          <w:rFonts w:ascii="Calibri" w:hAnsi="Calibri" w:cs="Calibri"/>
          <w:sz w:val="22"/>
          <w:szCs w:val="22"/>
        </w:rPr>
        <w:t xml:space="preserve">La </w:t>
      </w:r>
      <w:r w:rsidR="00E95A07">
        <w:rPr>
          <w:rFonts w:ascii="Calibri" w:hAnsi="Calibri" w:cs="Calibri"/>
          <w:sz w:val="22"/>
          <w:szCs w:val="22"/>
        </w:rPr>
        <w:t>S</w:t>
      </w:r>
      <w:r w:rsidRPr="00207A31">
        <w:rPr>
          <w:rFonts w:ascii="Calibri" w:hAnsi="Calibri" w:cs="Calibri"/>
          <w:sz w:val="22"/>
          <w:szCs w:val="22"/>
        </w:rPr>
        <w:t>ociété devra vraisemblablement régler l’impôt sur les sociétés à compter de 202</w:t>
      </w:r>
      <w:r w:rsidR="0082013B">
        <w:rPr>
          <w:rFonts w:ascii="Calibri" w:hAnsi="Calibri" w:cs="Calibri"/>
          <w:sz w:val="22"/>
          <w:szCs w:val="22"/>
        </w:rPr>
        <w:t>7</w:t>
      </w:r>
      <w:r w:rsidRPr="00207A31">
        <w:rPr>
          <w:rFonts w:ascii="Calibri" w:hAnsi="Calibri" w:cs="Calibri"/>
          <w:sz w:val="22"/>
          <w:szCs w:val="22"/>
        </w:rPr>
        <w:t xml:space="preserve"> compte tenu des résultats réalisés.</w:t>
      </w:r>
      <w:r>
        <w:rPr>
          <w:rFonts w:ascii="Calibri" w:hAnsi="Calibri" w:cs="Calibri"/>
          <w:sz w:val="22"/>
          <w:szCs w:val="22"/>
        </w:rPr>
        <w:t xml:space="preserve"> L’impôt sur les sociétés est calculé à hauteur de 25% du résultat net imposable après imputation des déficits fiscaux.</w:t>
      </w:r>
    </w:p>
    <w:p w14:paraId="60464B3C" w14:textId="77777777" w:rsidR="00003E07" w:rsidRPr="00003E07" w:rsidRDefault="00003E07" w:rsidP="00003E07">
      <w:pPr>
        <w:rPr>
          <w:rFonts w:ascii="Calibri" w:hAnsi="Calibri" w:cs="Calibri"/>
          <w:b/>
          <w:bCs/>
          <w:sz w:val="22"/>
          <w:szCs w:val="22"/>
        </w:rPr>
      </w:pPr>
    </w:p>
    <w:p w14:paraId="03C1391B" w14:textId="2E2A67B5" w:rsidR="00003E07" w:rsidRDefault="00003E07" w:rsidP="002611C7">
      <w:pPr>
        <w:keepNext/>
        <w:keepLines/>
        <w:jc w:val="both"/>
        <w:rPr>
          <w:rFonts w:ascii="Calibri" w:hAnsi="Calibri" w:cs="Calibri"/>
          <w:b/>
          <w:bCs/>
          <w:sz w:val="22"/>
          <w:szCs w:val="22"/>
        </w:rPr>
      </w:pPr>
      <w:r w:rsidRPr="00003E07">
        <w:rPr>
          <w:rFonts w:ascii="Calibri" w:hAnsi="Calibri" w:cs="Calibri"/>
          <w:b/>
          <w:bCs/>
          <w:sz w:val="22"/>
          <w:szCs w:val="22"/>
        </w:rPr>
        <w:t xml:space="preserve">Ainsi, la </w:t>
      </w:r>
      <w:r w:rsidR="00C80220">
        <w:rPr>
          <w:rFonts w:ascii="Calibri" w:hAnsi="Calibri" w:cs="Calibri"/>
          <w:b/>
          <w:bCs/>
          <w:sz w:val="22"/>
          <w:szCs w:val="22"/>
        </w:rPr>
        <w:t>S</w:t>
      </w:r>
      <w:r w:rsidRPr="00003E07">
        <w:rPr>
          <w:rFonts w:ascii="Calibri" w:hAnsi="Calibri" w:cs="Calibri"/>
          <w:b/>
          <w:bCs/>
          <w:sz w:val="22"/>
          <w:szCs w:val="22"/>
        </w:rPr>
        <w:t xml:space="preserve">ociété retrouverait un </w:t>
      </w:r>
      <w:r w:rsidR="007F1673">
        <w:rPr>
          <w:rFonts w:ascii="Calibri" w:hAnsi="Calibri" w:cs="Calibri"/>
          <w:b/>
          <w:bCs/>
          <w:sz w:val="22"/>
          <w:szCs w:val="22"/>
        </w:rPr>
        <w:t>Ebitda</w:t>
      </w:r>
      <w:r w:rsidRPr="00003E07">
        <w:rPr>
          <w:rFonts w:ascii="Calibri" w:hAnsi="Calibri" w:cs="Calibri"/>
          <w:b/>
          <w:bCs/>
          <w:sz w:val="22"/>
          <w:szCs w:val="22"/>
        </w:rPr>
        <w:t xml:space="preserve"> positif dès 202</w:t>
      </w:r>
      <w:r w:rsidR="0082013B">
        <w:rPr>
          <w:rFonts w:ascii="Calibri" w:hAnsi="Calibri" w:cs="Calibri"/>
          <w:b/>
          <w:bCs/>
          <w:sz w:val="22"/>
          <w:szCs w:val="22"/>
        </w:rPr>
        <w:t>7</w:t>
      </w:r>
      <w:r w:rsidRPr="00003E07">
        <w:rPr>
          <w:rFonts w:ascii="Calibri" w:hAnsi="Calibri" w:cs="Calibri"/>
          <w:b/>
          <w:bCs/>
          <w:sz w:val="22"/>
          <w:szCs w:val="22"/>
        </w:rPr>
        <w:t xml:space="preserve"> à hauteur de </w:t>
      </w:r>
      <w:r w:rsidR="00E53006">
        <w:rPr>
          <w:rFonts w:ascii="Calibri" w:hAnsi="Calibri" w:cs="Calibri"/>
          <w:b/>
          <w:bCs/>
          <w:sz w:val="22"/>
          <w:szCs w:val="22"/>
        </w:rPr>
        <w:t>1</w:t>
      </w:r>
      <w:r w:rsidR="00D61447">
        <w:rPr>
          <w:rFonts w:ascii="Calibri" w:hAnsi="Calibri" w:cs="Calibri"/>
          <w:b/>
          <w:bCs/>
          <w:sz w:val="22"/>
          <w:szCs w:val="22"/>
        </w:rPr>
        <w:t>7</w:t>
      </w:r>
      <w:r w:rsidR="005C61C5">
        <w:rPr>
          <w:rFonts w:ascii="Calibri" w:hAnsi="Calibri" w:cs="Calibri"/>
          <w:b/>
          <w:bCs/>
          <w:sz w:val="22"/>
          <w:szCs w:val="22"/>
        </w:rPr>
        <w:t>k</w:t>
      </w:r>
      <w:r w:rsidRPr="00003E07">
        <w:rPr>
          <w:rFonts w:ascii="Calibri" w:hAnsi="Calibri" w:cs="Calibri"/>
          <w:b/>
          <w:bCs/>
          <w:sz w:val="22"/>
          <w:szCs w:val="22"/>
        </w:rPr>
        <w:t xml:space="preserve">€ qui atteindrait </w:t>
      </w:r>
      <w:r w:rsidR="00E53006">
        <w:rPr>
          <w:rFonts w:ascii="Calibri" w:hAnsi="Calibri" w:cs="Calibri"/>
          <w:b/>
          <w:bCs/>
          <w:sz w:val="22"/>
          <w:szCs w:val="22"/>
        </w:rPr>
        <w:t>2</w:t>
      </w:r>
      <w:r w:rsidR="00D61447">
        <w:rPr>
          <w:rFonts w:ascii="Calibri" w:hAnsi="Calibri" w:cs="Calibri"/>
          <w:b/>
          <w:bCs/>
          <w:sz w:val="22"/>
          <w:szCs w:val="22"/>
        </w:rPr>
        <w:t>0</w:t>
      </w:r>
      <w:r w:rsidRPr="00003E07">
        <w:rPr>
          <w:rFonts w:ascii="Calibri" w:hAnsi="Calibri" w:cs="Calibri"/>
          <w:b/>
          <w:bCs/>
          <w:sz w:val="22"/>
          <w:szCs w:val="22"/>
        </w:rPr>
        <w:t>k€ en 203</w:t>
      </w:r>
      <w:r w:rsidR="00BC72A9">
        <w:rPr>
          <w:rFonts w:ascii="Calibri" w:hAnsi="Calibri" w:cs="Calibri"/>
          <w:b/>
          <w:bCs/>
          <w:sz w:val="22"/>
          <w:szCs w:val="22"/>
        </w:rPr>
        <w:t>1</w:t>
      </w:r>
      <w:r w:rsidRPr="00003E07">
        <w:rPr>
          <w:rFonts w:ascii="Calibri" w:hAnsi="Calibri" w:cs="Calibri"/>
          <w:b/>
          <w:bCs/>
          <w:sz w:val="22"/>
          <w:szCs w:val="22"/>
        </w:rPr>
        <w:t xml:space="preserve"> à horizon du projet de plan. </w:t>
      </w:r>
    </w:p>
    <w:p w14:paraId="09B50048" w14:textId="7FD8723D" w:rsidR="00A134C1" w:rsidRDefault="00A134C1">
      <w:pPr>
        <w:spacing w:after="160" w:line="259" w:lineRule="auto"/>
        <w:rPr>
          <w:rFonts w:ascii="Calibri" w:hAnsi="Calibri" w:cs="Calibri"/>
          <w:b/>
          <w:bCs/>
          <w:sz w:val="22"/>
          <w:szCs w:val="22"/>
        </w:rPr>
      </w:pPr>
      <w:r>
        <w:rPr>
          <w:rFonts w:ascii="Calibri" w:hAnsi="Calibri" w:cs="Calibri"/>
          <w:b/>
          <w:bCs/>
          <w:sz w:val="22"/>
          <w:szCs w:val="22"/>
        </w:rPr>
        <w:br w:type="page"/>
      </w:r>
    </w:p>
    <w:p w14:paraId="2DA3952F" w14:textId="77777777" w:rsidR="00A134C1" w:rsidRDefault="00A134C1" w:rsidP="002611C7">
      <w:pPr>
        <w:keepNext/>
        <w:keepLines/>
        <w:jc w:val="both"/>
        <w:rPr>
          <w:rFonts w:ascii="Calibri" w:hAnsi="Calibri" w:cs="Calibri"/>
          <w:b/>
          <w:bCs/>
          <w:sz w:val="22"/>
          <w:szCs w:val="22"/>
        </w:rPr>
      </w:pPr>
    </w:p>
    <w:tbl>
      <w:tblPr>
        <w:tblW w:w="10165" w:type="dxa"/>
        <w:tblInd w:w="-426" w:type="dxa"/>
        <w:tblCellMar>
          <w:left w:w="70" w:type="dxa"/>
          <w:right w:w="70" w:type="dxa"/>
        </w:tblCellMar>
        <w:tblLook w:val="04A0" w:firstRow="1" w:lastRow="0" w:firstColumn="1" w:lastColumn="0" w:noHBand="0" w:noVBand="1"/>
      </w:tblPr>
      <w:tblGrid>
        <w:gridCol w:w="4980"/>
        <w:gridCol w:w="185"/>
        <w:gridCol w:w="1000"/>
        <w:gridCol w:w="1000"/>
        <w:gridCol w:w="1000"/>
        <w:gridCol w:w="1000"/>
        <w:gridCol w:w="1000"/>
      </w:tblGrid>
      <w:tr w:rsidR="00A134C1" w14:paraId="5E4CE172" w14:textId="77777777" w:rsidTr="00A134C1">
        <w:trPr>
          <w:trHeight w:val="260"/>
        </w:trPr>
        <w:tc>
          <w:tcPr>
            <w:tcW w:w="4980" w:type="dxa"/>
            <w:tcBorders>
              <w:top w:val="nil"/>
              <w:left w:val="nil"/>
              <w:bottom w:val="nil"/>
              <w:right w:val="nil"/>
            </w:tcBorders>
            <w:noWrap/>
            <w:vAlign w:val="center"/>
            <w:hideMark/>
          </w:tcPr>
          <w:p w14:paraId="5697C4A3" w14:textId="77777777" w:rsidR="00A134C1" w:rsidRDefault="00A134C1">
            <w:pPr>
              <w:rPr>
                <w:rFonts w:ascii="Arial" w:hAnsi="Arial" w:cs="Arial"/>
                <w:b/>
                <w:bCs/>
                <w:color w:val="000000"/>
                <w:sz w:val="20"/>
                <w:szCs w:val="20"/>
              </w:rPr>
            </w:pPr>
            <w:r>
              <w:rPr>
                <w:rFonts w:ascii="Arial" w:hAnsi="Arial" w:cs="Arial"/>
                <w:b/>
                <w:bCs/>
                <w:color w:val="000000"/>
                <w:sz w:val="20"/>
                <w:szCs w:val="20"/>
              </w:rPr>
              <w:t>Comptes de résultat HT - SCI Tolbiac</w:t>
            </w:r>
          </w:p>
        </w:tc>
        <w:tc>
          <w:tcPr>
            <w:tcW w:w="185" w:type="dxa"/>
            <w:tcBorders>
              <w:top w:val="nil"/>
              <w:left w:val="nil"/>
              <w:bottom w:val="nil"/>
              <w:right w:val="nil"/>
            </w:tcBorders>
            <w:noWrap/>
            <w:vAlign w:val="center"/>
            <w:hideMark/>
          </w:tcPr>
          <w:p w14:paraId="175F8B17" w14:textId="77777777" w:rsidR="00A134C1" w:rsidRDefault="00A134C1">
            <w:pPr>
              <w:rPr>
                <w:rFonts w:ascii="Arial" w:hAnsi="Arial" w:cs="Arial"/>
                <w:b/>
                <w:bCs/>
                <w:color w:val="000000"/>
                <w:sz w:val="20"/>
                <w:szCs w:val="20"/>
              </w:rPr>
            </w:pPr>
          </w:p>
        </w:tc>
        <w:tc>
          <w:tcPr>
            <w:tcW w:w="1000" w:type="dxa"/>
            <w:tcBorders>
              <w:top w:val="nil"/>
              <w:left w:val="nil"/>
              <w:bottom w:val="nil"/>
              <w:right w:val="nil"/>
            </w:tcBorders>
            <w:noWrap/>
            <w:vAlign w:val="center"/>
            <w:hideMark/>
          </w:tcPr>
          <w:p w14:paraId="4767BE15" w14:textId="77777777" w:rsidR="00A134C1" w:rsidRDefault="00A134C1">
            <w:pPr>
              <w:rPr>
                <w:sz w:val="20"/>
                <w:szCs w:val="20"/>
              </w:rPr>
            </w:pPr>
          </w:p>
        </w:tc>
        <w:tc>
          <w:tcPr>
            <w:tcW w:w="1000" w:type="dxa"/>
            <w:tcBorders>
              <w:top w:val="nil"/>
              <w:left w:val="nil"/>
              <w:bottom w:val="nil"/>
              <w:right w:val="nil"/>
            </w:tcBorders>
            <w:noWrap/>
            <w:vAlign w:val="center"/>
            <w:hideMark/>
          </w:tcPr>
          <w:p w14:paraId="71F40577" w14:textId="77777777" w:rsidR="00A134C1" w:rsidRDefault="00A134C1">
            <w:pPr>
              <w:rPr>
                <w:sz w:val="20"/>
                <w:szCs w:val="20"/>
              </w:rPr>
            </w:pPr>
          </w:p>
        </w:tc>
        <w:tc>
          <w:tcPr>
            <w:tcW w:w="1000" w:type="dxa"/>
            <w:tcBorders>
              <w:top w:val="nil"/>
              <w:left w:val="nil"/>
              <w:bottom w:val="nil"/>
              <w:right w:val="nil"/>
            </w:tcBorders>
            <w:noWrap/>
            <w:vAlign w:val="center"/>
            <w:hideMark/>
          </w:tcPr>
          <w:p w14:paraId="39829E44" w14:textId="77777777" w:rsidR="00A134C1" w:rsidRDefault="00A134C1">
            <w:pPr>
              <w:rPr>
                <w:sz w:val="20"/>
                <w:szCs w:val="20"/>
              </w:rPr>
            </w:pPr>
          </w:p>
        </w:tc>
        <w:tc>
          <w:tcPr>
            <w:tcW w:w="1000" w:type="dxa"/>
            <w:tcBorders>
              <w:top w:val="nil"/>
              <w:left w:val="nil"/>
              <w:bottom w:val="nil"/>
              <w:right w:val="nil"/>
            </w:tcBorders>
            <w:noWrap/>
            <w:vAlign w:val="center"/>
            <w:hideMark/>
          </w:tcPr>
          <w:p w14:paraId="62FE703E" w14:textId="77777777" w:rsidR="00A134C1" w:rsidRDefault="00A134C1">
            <w:pPr>
              <w:rPr>
                <w:sz w:val="20"/>
                <w:szCs w:val="20"/>
              </w:rPr>
            </w:pPr>
          </w:p>
        </w:tc>
        <w:tc>
          <w:tcPr>
            <w:tcW w:w="1000" w:type="dxa"/>
            <w:tcBorders>
              <w:top w:val="nil"/>
              <w:left w:val="nil"/>
              <w:bottom w:val="nil"/>
              <w:right w:val="nil"/>
            </w:tcBorders>
            <w:noWrap/>
            <w:vAlign w:val="center"/>
            <w:hideMark/>
          </w:tcPr>
          <w:p w14:paraId="5624D6AF" w14:textId="77777777" w:rsidR="00A134C1" w:rsidRDefault="00A134C1">
            <w:pPr>
              <w:rPr>
                <w:sz w:val="20"/>
                <w:szCs w:val="20"/>
              </w:rPr>
            </w:pPr>
          </w:p>
        </w:tc>
      </w:tr>
      <w:tr w:rsidR="00A134C1" w14:paraId="0E8E00FA" w14:textId="77777777" w:rsidTr="00A134C1">
        <w:trPr>
          <w:trHeight w:val="108"/>
        </w:trPr>
        <w:tc>
          <w:tcPr>
            <w:tcW w:w="4980" w:type="dxa"/>
            <w:tcBorders>
              <w:top w:val="nil"/>
              <w:left w:val="nil"/>
              <w:bottom w:val="nil"/>
              <w:right w:val="nil"/>
            </w:tcBorders>
            <w:noWrap/>
            <w:vAlign w:val="center"/>
            <w:hideMark/>
          </w:tcPr>
          <w:p w14:paraId="4671C581" w14:textId="77777777" w:rsidR="00A134C1" w:rsidRDefault="00A134C1">
            <w:pPr>
              <w:rPr>
                <w:sz w:val="20"/>
                <w:szCs w:val="20"/>
              </w:rPr>
            </w:pPr>
          </w:p>
        </w:tc>
        <w:tc>
          <w:tcPr>
            <w:tcW w:w="185" w:type="dxa"/>
            <w:tcBorders>
              <w:top w:val="nil"/>
              <w:left w:val="nil"/>
              <w:bottom w:val="nil"/>
              <w:right w:val="nil"/>
            </w:tcBorders>
            <w:noWrap/>
            <w:vAlign w:val="center"/>
            <w:hideMark/>
          </w:tcPr>
          <w:p w14:paraId="15B2BFB5" w14:textId="77777777" w:rsidR="00A134C1" w:rsidRDefault="00A134C1">
            <w:pPr>
              <w:rPr>
                <w:sz w:val="20"/>
                <w:szCs w:val="20"/>
              </w:rPr>
            </w:pPr>
          </w:p>
        </w:tc>
        <w:tc>
          <w:tcPr>
            <w:tcW w:w="1000" w:type="dxa"/>
            <w:tcBorders>
              <w:top w:val="nil"/>
              <w:left w:val="nil"/>
              <w:bottom w:val="nil"/>
              <w:right w:val="nil"/>
            </w:tcBorders>
            <w:noWrap/>
            <w:vAlign w:val="center"/>
            <w:hideMark/>
          </w:tcPr>
          <w:p w14:paraId="05712E11" w14:textId="77777777" w:rsidR="00A134C1" w:rsidRDefault="00A134C1">
            <w:pPr>
              <w:rPr>
                <w:sz w:val="20"/>
                <w:szCs w:val="20"/>
              </w:rPr>
            </w:pPr>
          </w:p>
        </w:tc>
        <w:tc>
          <w:tcPr>
            <w:tcW w:w="1000" w:type="dxa"/>
            <w:tcBorders>
              <w:top w:val="nil"/>
              <w:left w:val="nil"/>
              <w:bottom w:val="nil"/>
              <w:right w:val="nil"/>
            </w:tcBorders>
            <w:noWrap/>
            <w:vAlign w:val="center"/>
            <w:hideMark/>
          </w:tcPr>
          <w:p w14:paraId="6200F533" w14:textId="77777777" w:rsidR="00A134C1" w:rsidRDefault="00A134C1">
            <w:pPr>
              <w:rPr>
                <w:sz w:val="20"/>
                <w:szCs w:val="20"/>
              </w:rPr>
            </w:pPr>
          </w:p>
        </w:tc>
        <w:tc>
          <w:tcPr>
            <w:tcW w:w="1000" w:type="dxa"/>
            <w:tcBorders>
              <w:top w:val="nil"/>
              <w:left w:val="nil"/>
              <w:bottom w:val="nil"/>
              <w:right w:val="nil"/>
            </w:tcBorders>
            <w:noWrap/>
            <w:vAlign w:val="center"/>
            <w:hideMark/>
          </w:tcPr>
          <w:p w14:paraId="59CB9A1D" w14:textId="77777777" w:rsidR="00A134C1" w:rsidRDefault="00A134C1">
            <w:pPr>
              <w:rPr>
                <w:sz w:val="20"/>
                <w:szCs w:val="20"/>
              </w:rPr>
            </w:pPr>
          </w:p>
        </w:tc>
        <w:tc>
          <w:tcPr>
            <w:tcW w:w="1000" w:type="dxa"/>
            <w:tcBorders>
              <w:top w:val="nil"/>
              <w:left w:val="nil"/>
              <w:bottom w:val="nil"/>
              <w:right w:val="nil"/>
            </w:tcBorders>
            <w:noWrap/>
            <w:vAlign w:val="center"/>
            <w:hideMark/>
          </w:tcPr>
          <w:p w14:paraId="72E43CA6" w14:textId="77777777" w:rsidR="00A134C1" w:rsidRDefault="00A134C1">
            <w:pPr>
              <w:rPr>
                <w:sz w:val="20"/>
                <w:szCs w:val="20"/>
              </w:rPr>
            </w:pPr>
          </w:p>
        </w:tc>
        <w:tc>
          <w:tcPr>
            <w:tcW w:w="1000" w:type="dxa"/>
            <w:tcBorders>
              <w:top w:val="nil"/>
              <w:left w:val="nil"/>
              <w:bottom w:val="nil"/>
              <w:right w:val="nil"/>
            </w:tcBorders>
            <w:noWrap/>
            <w:vAlign w:val="center"/>
            <w:hideMark/>
          </w:tcPr>
          <w:p w14:paraId="38F79EA5" w14:textId="77777777" w:rsidR="00A134C1" w:rsidRDefault="00A134C1">
            <w:pPr>
              <w:rPr>
                <w:sz w:val="20"/>
                <w:szCs w:val="20"/>
              </w:rPr>
            </w:pPr>
          </w:p>
        </w:tc>
      </w:tr>
      <w:tr w:rsidR="00A134C1" w14:paraId="48207498" w14:textId="77777777" w:rsidTr="00A134C1">
        <w:trPr>
          <w:trHeight w:val="225"/>
        </w:trPr>
        <w:tc>
          <w:tcPr>
            <w:tcW w:w="4980" w:type="dxa"/>
            <w:tcBorders>
              <w:top w:val="nil"/>
              <w:left w:val="nil"/>
              <w:bottom w:val="single" w:sz="4" w:space="0" w:color="000000"/>
              <w:right w:val="nil"/>
            </w:tcBorders>
            <w:vAlign w:val="center"/>
            <w:hideMark/>
          </w:tcPr>
          <w:p w14:paraId="78C832E9" w14:textId="77777777" w:rsidR="00A134C1" w:rsidRDefault="00A134C1">
            <w:pPr>
              <w:rPr>
                <w:rFonts w:ascii="Arial" w:hAnsi="Arial" w:cs="Arial"/>
                <w:b/>
                <w:bCs/>
                <w:color w:val="000000"/>
                <w:sz w:val="16"/>
                <w:szCs w:val="16"/>
              </w:rPr>
            </w:pPr>
            <w:r>
              <w:rPr>
                <w:rFonts w:ascii="Arial" w:hAnsi="Arial" w:cs="Arial"/>
                <w:b/>
                <w:bCs/>
                <w:color w:val="000000"/>
                <w:sz w:val="16"/>
                <w:szCs w:val="16"/>
              </w:rPr>
              <w:t>En k€</w:t>
            </w:r>
          </w:p>
        </w:tc>
        <w:tc>
          <w:tcPr>
            <w:tcW w:w="185" w:type="dxa"/>
            <w:tcBorders>
              <w:top w:val="nil"/>
              <w:left w:val="nil"/>
              <w:bottom w:val="single" w:sz="4" w:space="0" w:color="000000"/>
              <w:right w:val="nil"/>
            </w:tcBorders>
            <w:vAlign w:val="center"/>
            <w:hideMark/>
          </w:tcPr>
          <w:p w14:paraId="33560869"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nil"/>
              <w:left w:val="nil"/>
              <w:bottom w:val="single" w:sz="4" w:space="0" w:color="000000"/>
              <w:right w:val="nil"/>
            </w:tcBorders>
            <w:noWrap/>
            <w:vAlign w:val="center"/>
            <w:hideMark/>
          </w:tcPr>
          <w:p w14:paraId="068D700D"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FY27</w:t>
            </w:r>
          </w:p>
        </w:tc>
        <w:tc>
          <w:tcPr>
            <w:tcW w:w="1000" w:type="dxa"/>
            <w:tcBorders>
              <w:top w:val="nil"/>
              <w:left w:val="nil"/>
              <w:bottom w:val="single" w:sz="4" w:space="0" w:color="000000"/>
              <w:right w:val="nil"/>
            </w:tcBorders>
            <w:noWrap/>
            <w:vAlign w:val="center"/>
            <w:hideMark/>
          </w:tcPr>
          <w:p w14:paraId="7B105645"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FY28</w:t>
            </w:r>
          </w:p>
        </w:tc>
        <w:tc>
          <w:tcPr>
            <w:tcW w:w="1000" w:type="dxa"/>
            <w:tcBorders>
              <w:top w:val="nil"/>
              <w:left w:val="nil"/>
              <w:bottom w:val="single" w:sz="4" w:space="0" w:color="000000"/>
              <w:right w:val="nil"/>
            </w:tcBorders>
            <w:noWrap/>
            <w:vAlign w:val="center"/>
            <w:hideMark/>
          </w:tcPr>
          <w:p w14:paraId="3CCA9412"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FY29</w:t>
            </w:r>
          </w:p>
        </w:tc>
        <w:tc>
          <w:tcPr>
            <w:tcW w:w="1000" w:type="dxa"/>
            <w:tcBorders>
              <w:top w:val="nil"/>
              <w:left w:val="nil"/>
              <w:bottom w:val="single" w:sz="4" w:space="0" w:color="000000"/>
              <w:right w:val="nil"/>
            </w:tcBorders>
            <w:noWrap/>
            <w:vAlign w:val="center"/>
            <w:hideMark/>
          </w:tcPr>
          <w:p w14:paraId="429F4BE2"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FY30</w:t>
            </w:r>
          </w:p>
        </w:tc>
        <w:tc>
          <w:tcPr>
            <w:tcW w:w="1000" w:type="dxa"/>
            <w:tcBorders>
              <w:top w:val="nil"/>
              <w:left w:val="nil"/>
              <w:bottom w:val="single" w:sz="4" w:space="0" w:color="000000"/>
              <w:right w:val="nil"/>
            </w:tcBorders>
            <w:noWrap/>
            <w:vAlign w:val="center"/>
            <w:hideMark/>
          </w:tcPr>
          <w:p w14:paraId="742EF2AB"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FY31</w:t>
            </w:r>
          </w:p>
        </w:tc>
      </w:tr>
      <w:tr w:rsidR="00A134C1" w14:paraId="14E6262E" w14:textId="77777777" w:rsidTr="00A134C1">
        <w:trPr>
          <w:trHeight w:val="108"/>
        </w:trPr>
        <w:tc>
          <w:tcPr>
            <w:tcW w:w="4980" w:type="dxa"/>
            <w:tcBorders>
              <w:top w:val="nil"/>
              <w:left w:val="nil"/>
              <w:bottom w:val="nil"/>
              <w:right w:val="nil"/>
            </w:tcBorders>
            <w:noWrap/>
            <w:vAlign w:val="center"/>
            <w:hideMark/>
          </w:tcPr>
          <w:p w14:paraId="2025C968" w14:textId="77777777" w:rsidR="00A134C1" w:rsidRDefault="00A134C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64AC5A9E" w14:textId="77777777" w:rsidR="00A134C1" w:rsidRDefault="00A134C1">
            <w:pPr>
              <w:rPr>
                <w:sz w:val="20"/>
                <w:szCs w:val="20"/>
              </w:rPr>
            </w:pPr>
          </w:p>
        </w:tc>
        <w:tc>
          <w:tcPr>
            <w:tcW w:w="1000" w:type="dxa"/>
            <w:tcBorders>
              <w:top w:val="nil"/>
              <w:left w:val="nil"/>
              <w:bottom w:val="nil"/>
              <w:right w:val="nil"/>
            </w:tcBorders>
            <w:noWrap/>
            <w:vAlign w:val="center"/>
            <w:hideMark/>
          </w:tcPr>
          <w:p w14:paraId="431D564F" w14:textId="77777777" w:rsidR="00A134C1" w:rsidRDefault="00A134C1">
            <w:pPr>
              <w:rPr>
                <w:sz w:val="20"/>
                <w:szCs w:val="20"/>
              </w:rPr>
            </w:pPr>
          </w:p>
        </w:tc>
        <w:tc>
          <w:tcPr>
            <w:tcW w:w="1000" w:type="dxa"/>
            <w:tcBorders>
              <w:top w:val="nil"/>
              <w:left w:val="nil"/>
              <w:bottom w:val="nil"/>
              <w:right w:val="nil"/>
            </w:tcBorders>
            <w:noWrap/>
            <w:vAlign w:val="center"/>
            <w:hideMark/>
          </w:tcPr>
          <w:p w14:paraId="5784F8A7" w14:textId="77777777" w:rsidR="00A134C1" w:rsidRDefault="00A134C1">
            <w:pPr>
              <w:rPr>
                <w:sz w:val="20"/>
                <w:szCs w:val="20"/>
              </w:rPr>
            </w:pPr>
          </w:p>
        </w:tc>
        <w:tc>
          <w:tcPr>
            <w:tcW w:w="1000" w:type="dxa"/>
            <w:tcBorders>
              <w:top w:val="nil"/>
              <w:left w:val="nil"/>
              <w:bottom w:val="nil"/>
              <w:right w:val="nil"/>
            </w:tcBorders>
            <w:noWrap/>
            <w:vAlign w:val="center"/>
            <w:hideMark/>
          </w:tcPr>
          <w:p w14:paraId="23440459" w14:textId="77777777" w:rsidR="00A134C1" w:rsidRDefault="00A134C1">
            <w:pPr>
              <w:rPr>
                <w:sz w:val="20"/>
                <w:szCs w:val="20"/>
              </w:rPr>
            </w:pPr>
          </w:p>
        </w:tc>
        <w:tc>
          <w:tcPr>
            <w:tcW w:w="1000" w:type="dxa"/>
            <w:tcBorders>
              <w:top w:val="nil"/>
              <w:left w:val="nil"/>
              <w:bottom w:val="nil"/>
              <w:right w:val="nil"/>
            </w:tcBorders>
            <w:noWrap/>
            <w:vAlign w:val="center"/>
            <w:hideMark/>
          </w:tcPr>
          <w:p w14:paraId="03679078" w14:textId="77777777" w:rsidR="00A134C1" w:rsidRDefault="00A134C1">
            <w:pPr>
              <w:rPr>
                <w:sz w:val="20"/>
                <w:szCs w:val="20"/>
              </w:rPr>
            </w:pPr>
          </w:p>
        </w:tc>
        <w:tc>
          <w:tcPr>
            <w:tcW w:w="1000" w:type="dxa"/>
            <w:tcBorders>
              <w:top w:val="nil"/>
              <w:left w:val="nil"/>
              <w:bottom w:val="nil"/>
              <w:right w:val="nil"/>
            </w:tcBorders>
            <w:noWrap/>
            <w:vAlign w:val="center"/>
            <w:hideMark/>
          </w:tcPr>
          <w:p w14:paraId="371DFFAB" w14:textId="77777777" w:rsidR="00A134C1" w:rsidRDefault="00A134C1">
            <w:pPr>
              <w:rPr>
                <w:sz w:val="20"/>
                <w:szCs w:val="20"/>
              </w:rPr>
            </w:pPr>
          </w:p>
        </w:tc>
      </w:tr>
      <w:tr w:rsidR="00A134C1" w14:paraId="09CBF0B5" w14:textId="77777777" w:rsidTr="00A134C1">
        <w:trPr>
          <w:trHeight w:val="225"/>
        </w:trPr>
        <w:tc>
          <w:tcPr>
            <w:tcW w:w="4980" w:type="dxa"/>
            <w:tcBorders>
              <w:top w:val="nil"/>
              <w:left w:val="nil"/>
              <w:bottom w:val="nil"/>
              <w:right w:val="nil"/>
            </w:tcBorders>
            <w:noWrap/>
            <w:vAlign w:val="center"/>
            <w:hideMark/>
          </w:tcPr>
          <w:p w14:paraId="5C536B21" w14:textId="77777777" w:rsidR="00A134C1" w:rsidRDefault="00A134C1">
            <w:pPr>
              <w:rPr>
                <w:rFonts w:ascii="Arial" w:hAnsi="Arial" w:cs="Arial"/>
                <w:sz w:val="16"/>
                <w:szCs w:val="16"/>
              </w:rPr>
            </w:pPr>
            <w:r>
              <w:rPr>
                <w:rFonts w:ascii="Arial" w:hAnsi="Arial" w:cs="Arial"/>
                <w:sz w:val="16"/>
                <w:szCs w:val="16"/>
              </w:rPr>
              <w:t>Loyers</w:t>
            </w:r>
          </w:p>
        </w:tc>
        <w:tc>
          <w:tcPr>
            <w:tcW w:w="185" w:type="dxa"/>
            <w:tcBorders>
              <w:top w:val="nil"/>
              <w:left w:val="nil"/>
              <w:bottom w:val="nil"/>
              <w:right w:val="nil"/>
            </w:tcBorders>
            <w:noWrap/>
            <w:vAlign w:val="center"/>
            <w:hideMark/>
          </w:tcPr>
          <w:p w14:paraId="0741C894"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01B88559"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27 </w:t>
            </w:r>
          </w:p>
        </w:tc>
        <w:tc>
          <w:tcPr>
            <w:tcW w:w="1000" w:type="dxa"/>
            <w:tcBorders>
              <w:top w:val="nil"/>
              <w:left w:val="nil"/>
              <w:bottom w:val="nil"/>
              <w:right w:val="nil"/>
            </w:tcBorders>
            <w:noWrap/>
            <w:vAlign w:val="center"/>
            <w:hideMark/>
          </w:tcPr>
          <w:p w14:paraId="1EE067EC"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28 </w:t>
            </w:r>
          </w:p>
        </w:tc>
        <w:tc>
          <w:tcPr>
            <w:tcW w:w="1000" w:type="dxa"/>
            <w:tcBorders>
              <w:top w:val="nil"/>
              <w:left w:val="nil"/>
              <w:bottom w:val="nil"/>
              <w:right w:val="nil"/>
            </w:tcBorders>
            <w:noWrap/>
            <w:vAlign w:val="center"/>
            <w:hideMark/>
          </w:tcPr>
          <w:p w14:paraId="21FF923E"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28 </w:t>
            </w:r>
          </w:p>
        </w:tc>
        <w:tc>
          <w:tcPr>
            <w:tcW w:w="1000" w:type="dxa"/>
            <w:tcBorders>
              <w:top w:val="nil"/>
              <w:left w:val="nil"/>
              <w:bottom w:val="nil"/>
              <w:right w:val="nil"/>
            </w:tcBorders>
            <w:noWrap/>
            <w:vAlign w:val="center"/>
            <w:hideMark/>
          </w:tcPr>
          <w:p w14:paraId="649A2645"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29 </w:t>
            </w:r>
          </w:p>
        </w:tc>
        <w:tc>
          <w:tcPr>
            <w:tcW w:w="1000" w:type="dxa"/>
            <w:tcBorders>
              <w:top w:val="nil"/>
              <w:left w:val="nil"/>
              <w:bottom w:val="nil"/>
              <w:right w:val="nil"/>
            </w:tcBorders>
            <w:noWrap/>
            <w:vAlign w:val="center"/>
            <w:hideMark/>
          </w:tcPr>
          <w:p w14:paraId="08BB056E"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29 </w:t>
            </w:r>
          </w:p>
        </w:tc>
      </w:tr>
      <w:tr w:rsidR="00A134C1" w14:paraId="3AD74C3A" w14:textId="77777777" w:rsidTr="00A134C1">
        <w:trPr>
          <w:trHeight w:val="225"/>
        </w:trPr>
        <w:tc>
          <w:tcPr>
            <w:tcW w:w="4980" w:type="dxa"/>
            <w:tcBorders>
              <w:top w:val="nil"/>
              <w:left w:val="nil"/>
              <w:bottom w:val="nil"/>
              <w:right w:val="nil"/>
            </w:tcBorders>
            <w:noWrap/>
            <w:vAlign w:val="center"/>
            <w:hideMark/>
          </w:tcPr>
          <w:p w14:paraId="6FDDF584" w14:textId="77777777" w:rsidR="00A134C1" w:rsidRDefault="00A134C1">
            <w:pPr>
              <w:rPr>
                <w:rFonts w:ascii="Arial" w:hAnsi="Arial" w:cs="Arial"/>
                <w:sz w:val="16"/>
                <w:szCs w:val="16"/>
              </w:rPr>
            </w:pPr>
            <w:r>
              <w:rPr>
                <w:rFonts w:ascii="Arial" w:hAnsi="Arial" w:cs="Arial"/>
                <w:sz w:val="16"/>
                <w:szCs w:val="16"/>
              </w:rPr>
              <w:t>Provisions sur charges</w:t>
            </w:r>
          </w:p>
        </w:tc>
        <w:tc>
          <w:tcPr>
            <w:tcW w:w="185" w:type="dxa"/>
            <w:tcBorders>
              <w:top w:val="nil"/>
              <w:left w:val="nil"/>
              <w:bottom w:val="nil"/>
              <w:right w:val="nil"/>
            </w:tcBorders>
            <w:noWrap/>
            <w:vAlign w:val="center"/>
            <w:hideMark/>
          </w:tcPr>
          <w:p w14:paraId="3120B7C6"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4F36F348"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1 </w:t>
            </w:r>
          </w:p>
        </w:tc>
        <w:tc>
          <w:tcPr>
            <w:tcW w:w="1000" w:type="dxa"/>
            <w:tcBorders>
              <w:top w:val="nil"/>
              <w:left w:val="nil"/>
              <w:bottom w:val="nil"/>
              <w:right w:val="nil"/>
            </w:tcBorders>
            <w:noWrap/>
            <w:vAlign w:val="center"/>
            <w:hideMark/>
          </w:tcPr>
          <w:p w14:paraId="0A1FEE85"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1 </w:t>
            </w:r>
          </w:p>
        </w:tc>
        <w:tc>
          <w:tcPr>
            <w:tcW w:w="1000" w:type="dxa"/>
            <w:tcBorders>
              <w:top w:val="nil"/>
              <w:left w:val="nil"/>
              <w:bottom w:val="nil"/>
              <w:right w:val="nil"/>
            </w:tcBorders>
            <w:noWrap/>
            <w:vAlign w:val="center"/>
            <w:hideMark/>
          </w:tcPr>
          <w:p w14:paraId="060E243C"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1 </w:t>
            </w:r>
          </w:p>
        </w:tc>
        <w:tc>
          <w:tcPr>
            <w:tcW w:w="1000" w:type="dxa"/>
            <w:tcBorders>
              <w:top w:val="nil"/>
              <w:left w:val="nil"/>
              <w:bottom w:val="nil"/>
              <w:right w:val="nil"/>
            </w:tcBorders>
            <w:noWrap/>
            <w:vAlign w:val="center"/>
            <w:hideMark/>
          </w:tcPr>
          <w:p w14:paraId="6790C2F3"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1 </w:t>
            </w:r>
          </w:p>
        </w:tc>
        <w:tc>
          <w:tcPr>
            <w:tcW w:w="1000" w:type="dxa"/>
            <w:tcBorders>
              <w:top w:val="nil"/>
              <w:left w:val="nil"/>
              <w:bottom w:val="nil"/>
              <w:right w:val="nil"/>
            </w:tcBorders>
            <w:noWrap/>
            <w:vAlign w:val="center"/>
            <w:hideMark/>
          </w:tcPr>
          <w:p w14:paraId="3793C41D"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1 </w:t>
            </w:r>
          </w:p>
        </w:tc>
      </w:tr>
      <w:tr w:rsidR="00A134C1" w14:paraId="353EB6BA" w14:textId="77777777" w:rsidTr="00A134C1">
        <w:trPr>
          <w:trHeight w:val="225"/>
        </w:trPr>
        <w:tc>
          <w:tcPr>
            <w:tcW w:w="4980" w:type="dxa"/>
            <w:tcBorders>
              <w:top w:val="nil"/>
              <w:left w:val="nil"/>
              <w:bottom w:val="nil"/>
              <w:right w:val="nil"/>
            </w:tcBorders>
            <w:noWrap/>
            <w:vAlign w:val="center"/>
            <w:hideMark/>
          </w:tcPr>
          <w:p w14:paraId="70940FAE" w14:textId="77777777" w:rsidR="00A134C1" w:rsidRDefault="00A134C1">
            <w:pPr>
              <w:rPr>
                <w:rFonts w:ascii="Arial" w:hAnsi="Arial" w:cs="Arial"/>
                <w:sz w:val="16"/>
                <w:szCs w:val="16"/>
              </w:rPr>
            </w:pPr>
            <w:r>
              <w:rPr>
                <w:rFonts w:ascii="Arial" w:hAnsi="Arial" w:cs="Arial"/>
                <w:sz w:val="16"/>
                <w:szCs w:val="16"/>
              </w:rPr>
              <w:t>Revenus Airbnb</w:t>
            </w:r>
          </w:p>
        </w:tc>
        <w:tc>
          <w:tcPr>
            <w:tcW w:w="185" w:type="dxa"/>
            <w:tcBorders>
              <w:top w:val="nil"/>
              <w:left w:val="nil"/>
              <w:bottom w:val="nil"/>
              <w:right w:val="nil"/>
            </w:tcBorders>
            <w:noWrap/>
            <w:vAlign w:val="center"/>
            <w:hideMark/>
          </w:tcPr>
          <w:p w14:paraId="7B2A7267"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2673E4B6"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719E75E"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7CDE567"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0E67B9B"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520C552"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48045804" w14:textId="77777777" w:rsidTr="00A134C1">
        <w:trPr>
          <w:trHeight w:val="225"/>
        </w:trPr>
        <w:tc>
          <w:tcPr>
            <w:tcW w:w="4980" w:type="dxa"/>
            <w:tcBorders>
              <w:top w:val="nil"/>
              <w:left w:val="nil"/>
              <w:bottom w:val="nil"/>
              <w:right w:val="nil"/>
            </w:tcBorders>
            <w:noWrap/>
            <w:vAlign w:val="center"/>
            <w:hideMark/>
          </w:tcPr>
          <w:p w14:paraId="41F4D28A" w14:textId="77777777" w:rsidR="00A134C1" w:rsidRDefault="00A134C1">
            <w:pPr>
              <w:rPr>
                <w:rFonts w:ascii="Arial" w:hAnsi="Arial" w:cs="Arial"/>
                <w:sz w:val="16"/>
                <w:szCs w:val="16"/>
              </w:rPr>
            </w:pPr>
            <w:r>
              <w:rPr>
                <w:rFonts w:ascii="Arial" w:hAnsi="Arial" w:cs="Arial"/>
                <w:sz w:val="16"/>
                <w:szCs w:val="16"/>
              </w:rPr>
              <w:t>Revenus Hôtels</w:t>
            </w:r>
          </w:p>
        </w:tc>
        <w:tc>
          <w:tcPr>
            <w:tcW w:w="185" w:type="dxa"/>
            <w:tcBorders>
              <w:top w:val="nil"/>
              <w:left w:val="nil"/>
              <w:bottom w:val="nil"/>
              <w:right w:val="nil"/>
            </w:tcBorders>
            <w:noWrap/>
            <w:vAlign w:val="center"/>
            <w:hideMark/>
          </w:tcPr>
          <w:p w14:paraId="683DD138"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2690506D"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96A1B7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6ACBB70"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B9F804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1099775"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05CBFC95" w14:textId="77777777" w:rsidTr="00A134C1">
        <w:trPr>
          <w:trHeight w:val="225"/>
        </w:trPr>
        <w:tc>
          <w:tcPr>
            <w:tcW w:w="4980" w:type="dxa"/>
            <w:tcBorders>
              <w:top w:val="nil"/>
              <w:left w:val="nil"/>
              <w:bottom w:val="nil"/>
              <w:right w:val="nil"/>
            </w:tcBorders>
            <w:noWrap/>
            <w:vAlign w:val="center"/>
            <w:hideMark/>
          </w:tcPr>
          <w:p w14:paraId="69B17C99" w14:textId="77777777" w:rsidR="00A134C1" w:rsidRDefault="00A134C1">
            <w:pPr>
              <w:rPr>
                <w:rFonts w:ascii="Arial" w:hAnsi="Arial" w:cs="Arial"/>
                <w:sz w:val="16"/>
                <w:szCs w:val="16"/>
              </w:rPr>
            </w:pPr>
            <w:r>
              <w:rPr>
                <w:rFonts w:ascii="Arial" w:hAnsi="Arial" w:cs="Arial"/>
                <w:sz w:val="16"/>
                <w:szCs w:val="16"/>
              </w:rPr>
              <w:t xml:space="preserve">Management </w:t>
            </w:r>
            <w:proofErr w:type="spellStart"/>
            <w:r>
              <w:rPr>
                <w:rFonts w:ascii="Arial" w:hAnsi="Arial" w:cs="Arial"/>
                <w:sz w:val="16"/>
                <w:szCs w:val="16"/>
              </w:rPr>
              <w:t>fees</w:t>
            </w:r>
            <w:proofErr w:type="spellEnd"/>
            <w:r>
              <w:rPr>
                <w:rFonts w:ascii="Arial" w:hAnsi="Arial" w:cs="Arial"/>
                <w:sz w:val="16"/>
                <w:szCs w:val="16"/>
              </w:rPr>
              <w:t xml:space="preserve"> refacturés par HFI encaissés</w:t>
            </w:r>
          </w:p>
        </w:tc>
        <w:tc>
          <w:tcPr>
            <w:tcW w:w="185" w:type="dxa"/>
            <w:tcBorders>
              <w:top w:val="nil"/>
              <w:left w:val="nil"/>
              <w:bottom w:val="nil"/>
              <w:right w:val="nil"/>
            </w:tcBorders>
            <w:noWrap/>
            <w:vAlign w:val="center"/>
            <w:hideMark/>
          </w:tcPr>
          <w:p w14:paraId="5905F00B"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53D6B681"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F244AE7"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E5A6A2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DA7BCF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370995FE"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6ED357CA" w14:textId="77777777" w:rsidTr="00A134C1">
        <w:trPr>
          <w:trHeight w:val="108"/>
        </w:trPr>
        <w:tc>
          <w:tcPr>
            <w:tcW w:w="4980" w:type="dxa"/>
            <w:tcBorders>
              <w:top w:val="nil"/>
              <w:left w:val="nil"/>
              <w:bottom w:val="nil"/>
              <w:right w:val="nil"/>
            </w:tcBorders>
            <w:noWrap/>
            <w:vAlign w:val="center"/>
            <w:hideMark/>
          </w:tcPr>
          <w:p w14:paraId="7DA5824B" w14:textId="77777777" w:rsidR="00A134C1" w:rsidRDefault="00A134C1">
            <w:pPr>
              <w:jc w:val="right"/>
              <w:rPr>
                <w:rFonts w:ascii="Arial" w:hAnsi="Arial" w:cs="Arial"/>
                <w:color w:val="000000"/>
                <w:sz w:val="16"/>
                <w:szCs w:val="16"/>
              </w:rPr>
            </w:pPr>
          </w:p>
        </w:tc>
        <w:tc>
          <w:tcPr>
            <w:tcW w:w="185" w:type="dxa"/>
            <w:tcBorders>
              <w:top w:val="nil"/>
              <w:left w:val="nil"/>
              <w:bottom w:val="nil"/>
              <w:right w:val="nil"/>
            </w:tcBorders>
            <w:noWrap/>
            <w:vAlign w:val="center"/>
            <w:hideMark/>
          </w:tcPr>
          <w:p w14:paraId="518470DB" w14:textId="77777777" w:rsidR="00A134C1" w:rsidRDefault="00A134C1">
            <w:pPr>
              <w:rPr>
                <w:sz w:val="20"/>
                <w:szCs w:val="20"/>
              </w:rPr>
            </w:pPr>
          </w:p>
        </w:tc>
        <w:tc>
          <w:tcPr>
            <w:tcW w:w="1000" w:type="dxa"/>
            <w:tcBorders>
              <w:top w:val="nil"/>
              <w:left w:val="nil"/>
              <w:bottom w:val="nil"/>
              <w:right w:val="nil"/>
            </w:tcBorders>
            <w:noWrap/>
            <w:vAlign w:val="center"/>
            <w:hideMark/>
          </w:tcPr>
          <w:p w14:paraId="60EA53E7" w14:textId="77777777" w:rsidR="00A134C1" w:rsidRDefault="00A134C1">
            <w:pPr>
              <w:rPr>
                <w:sz w:val="20"/>
                <w:szCs w:val="20"/>
              </w:rPr>
            </w:pPr>
          </w:p>
        </w:tc>
        <w:tc>
          <w:tcPr>
            <w:tcW w:w="1000" w:type="dxa"/>
            <w:tcBorders>
              <w:top w:val="nil"/>
              <w:left w:val="nil"/>
              <w:bottom w:val="nil"/>
              <w:right w:val="nil"/>
            </w:tcBorders>
            <w:noWrap/>
            <w:vAlign w:val="center"/>
            <w:hideMark/>
          </w:tcPr>
          <w:p w14:paraId="18A1B6A9"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0EE940E6"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256B6051"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235AD613" w14:textId="77777777" w:rsidR="00A134C1" w:rsidRDefault="00A134C1">
            <w:pPr>
              <w:jc w:val="right"/>
              <w:rPr>
                <w:sz w:val="20"/>
                <w:szCs w:val="20"/>
              </w:rPr>
            </w:pPr>
          </w:p>
        </w:tc>
      </w:tr>
      <w:tr w:rsidR="00A134C1" w14:paraId="0673B145" w14:textId="77777777" w:rsidTr="00A134C1">
        <w:trPr>
          <w:trHeight w:val="225"/>
        </w:trPr>
        <w:tc>
          <w:tcPr>
            <w:tcW w:w="4980" w:type="dxa"/>
            <w:tcBorders>
              <w:top w:val="single" w:sz="4" w:space="0" w:color="7F7F7F"/>
              <w:left w:val="nil"/>
              <w:bottom w:val="single" w:sz="4" w:space="0" w:color="7F7F7F"/>
              <w:right w:val="nil"/>
            </w:tcBorders>
            <w:noWrap/>
            <w:vAlign w:val="center"/>
            <w:hideMark/>
          </w:tcPr>
          <w:p w14:paraId="3CDBC5C3" w14:textId="77777777" w:rsidR="00A134C1" w:rsidRDefault="00A134C1">
            <w:pPr>
              <w:rPr>
                <w:rFonts w:ascii="Arial" w:hAnsi="Arial" w:cs="Arial"/>
                <w:b/>
                <w:bCs/>
                <w:color w:val="000000"/>
                <w:sz w:val="16"/>
                <w:szCs w:val="16"/>
              </w:rPr>
            </w:pPr>
            <w:r>
              <w:rPr>
                <w:rFonts w:ascii="Arial" w:hAnsi="Arial" w:cs="Arial"/>
                <w:b/>
                <w:bCs/>
                <w:color w:val="000000"/>
                <w:sz w:val="16"/>
                <w:szCs w:val="16"/>
              </w:rPr>
              <w:t>Chiffre d'affaires</w:t>
            </w:r>
          </w:p>
        </w:tc>
        <w:tc>
          <w:tcPr>
            <w:tcW w:w="185" w:type="dxa"/>
            <w:tcBorders>
              <w:top w:val="single" w:sz="4" w:space="0" w:color="7F7F7F"/>
              <w:left w:val="nil"/>
              <w:bottom w:val="single" w:sz="4" w:space="0" w:color="7F7F7F"/>
              <w:right w:val="nil"/>
            </w:tcBorders>
            <w:noWrap/>
            <w:vAlign w:val="center"/>
            <w:hideMark/>
          </w:tcPr>
          <w:p w14:paraId="563E9A89"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noWrap/>
            <w:vAlign w:val="center"/>
            <w:hideMark/>
          </w:tcPr>
          <w:p w14:paraId="3ABB6BA9"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28 </w:t>
            </w:r>
          </w:p>
        </w:tc>
        <w:tc>
          <w:tcPr>
            <w:tcW w:w="1000" w:type="dxa"/>
            <w:tcBorders>
              <w:top w:val="single" w:sz="4" w:space="0" w:color="7F7F7F"/>
              <w:left w:val="nil"/>
              <w:bottom w:val="single" w:sz="4" w:space="0" w:color="7F7F7F"/>
              <w:right w:val="nil"/>
            </w:tcBorders>
            <w:noWrap/>
            <w:vAlign w:val="center"/>
            <w:hideMark/>
          </w:tcPr>
          <w:p w14:paraId="431E0FD5"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29 </w:t>
            </w:r>
          </w:p>
        </w:tc>
        <w:tc>
          <w:tcPr>
            <w:tcW w:w="1000" w:type="dxa"/>
            <w:tcBorders>
              <w:top w:val="single" w:sz="4" w:space="0" w:color="7F7F7F"/>
              <w:left w:val="nil"/>
              <w:bottom w:val="single" w:sz="4" w:space="0" w:color="7F7F7F"/>
              <w:right w:val="nil"/>
            </w:tcBorders>
            <w:noWrap/>
            <w:vAlign w:val="center"/>
            <w:hideMark/>
          </w:tcPr>
          <w:p w14:paraId="73522542"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29 </w:t>
            </w:r>
          </w:p>
        </w:tc>
        <w:tc>
          <w:tcPr>
            <w:tcW w:w="1000" w:type="dxa"/>
            <w:tcBorders>
              <w:top w:val="single" w:sz="4" w:space="0" w:color="7F7F7F"/>
              <w:left w:val="nil"/>
              <w:bottom w:val="single" w:sz="4" w:space="0" w:color="7F7F7F"/>
              <w:right w:val="nil"/>
            </w:tcBorders>
            <w:noWrap/>
            <w:vAlign w:val="center"/>
            <w:hideMark/>
          </w:tcPr>
          <w:p w14:paraId="316C4EBC"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30 </w:t>
            </w:r>
          </w:p>
        </w:tc>
        <w:tc>
          <w:tcPr>
            <w:tcW w:w="1000" w:type="dxa"/>
            <w:tcBorders>
              <w:top w:val="single" w:sz="4" w:space="0" w:color="7F7F7F"/>
              <w:left w:val="nil"/>
              <w:bottom w:val="single" w:sz="4" w:space="0" w:color="7F7F7F"/>
              <w:right w:val="nil"/>
            </w:tcBorders>
            <w:noWrap/>
            <w:vAlign w:val="center"/>
            <w:hideMark/>
          </w:tcPr>
          <w:p w14:paraId="23156295"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31 </w:t>
            </w:r>
          </w:p>
        </w:tc>
      </w:tr>
      <w:tr w:rsidR="00A134C1" w14:paraId="64D8CAA6" w14:textId="77777777" w:rsidTr="00A134C1">
        <w:trPr>
          <w:trHeight w:val="108"/>
        </w:trPr>
        <w:tc>
          <w:tcPr>
            <w:tcW w:w="4980" w:type="dxa"/>
            <w:tcBorders>
              <w:top w:val="nil"/>
              <w:left w:val="nil"/>
              <w:bottom w:val="nil"/>
              <w:right w:val="nil"/>
            </w:tcBorders>
            <w:noWrap/>
            <w:vAlign w:val="center"/>
            <w:hideMark/>
          </w:tcPr>
          <w:p w14:paraId="1F644DF4" w14:textId="77777777" w:rsidR="00A134C1" w:rsidRDefault="00A134C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660F51B8" w14:textId="77777777" w:rsidR="00A134C1" w:rsidRDefault="00A134C1">
            <w:pPr>
              <w:rPr>
                <w:sz w:val="20"/>
                <w:szCs w:val="20"/>
              </w:rPr>
            </w:pPr>
          </w:p>
        </w:tc>
        <w:tc>
          <w:tcPr>
            <w:tcW w:w="1000" w:type="dxa"/>
            <w:tcBorders>
              <w:top w:val="nil"/>
              <w:left w:val="nil"/>
              <w:bottom w:val="nil"/>
              <w:right w:val="nil"/>
            </w:tcBorders>
            <w:noWrap/>
            <w:vAlign w:val="center"/>
            <w:hideMark/>
          </w:tcPr>
          <w:p w14:paraId="74BEF601" w14:textId="77777777" w:rsidR="00A134C1" w:rsidRDefault="00A134C1">
            <w:pPr>
              <w:rPr>
                <w:sz w:val="20"/>
                <w:szCs w:val="20"/>
              </w:rPr>
            </w:pPr>
          </w:p>
        </w:tc>
        <w:tc>
          <w:tcPr>
            <w:tcW w:w="1000" w:type="dxa"/>
            <w:tcBorders>
              <w:top w:val="nil"/>
              <w:left w:val="nil"/>
              <w:bottom w:val="nil"/>
              <w:right w:val="nil"/>
            </w:tcBorders>
            <w:noWrap/>
            <w:vAlign w:val="center"/>
            <w:hideMark/>
          </w:tcPr>
          <w:p w14:paraId="5CF06F5C"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0EED04F3"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35E3A0AA"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7897710C" w14:textId="77777777" w:rsidR="00A134C1" w:rsidRDefault="00A134C1">
            <w:pPr>
              <w:jc w:val="right"/>
              <w:rPr>
                <w:sz w:val="20"/>
                <w:szCs w:val="20"/>
              </w:rPr>
            </w:pPr>
          </w:p>
        </w:tc>
      </w:tr>
      <w:tr w:rsidR="00A134C1" w14:paraId="05A2FC09" w14:textId="77777777" w:rsidTr="00A134C1">
        <w:trPr>
          <w:trHeight w:val="225"/>
        </w:trPr>
        <w:tc>
          <w:tcPr>
            <w:tcW w:w="4980" w:type="dxa"/>
            <w:tcBorders>
              <w:top w:val="nil"/>
              <w:left w:val="nil"/>
              <w:bottom w:val="nil"/>
              <w:right w:val="nil"/>
            </w:tcBorders>
            <w:noWrap/>
            <w:vAlign w:val="center"/>
            <w:hideMark/>
          </w:tcPr>
          <w:p w14:paraId="6BE334B8" w14:textId="77777777" w:rsidR="00A134C1" w:rsidRDefault="00A134C1">
            <w:pPr>
              <w:rPr>
                <w:rFonts w:ascii="Arial" w:hAnsi="Arial" w:cs="Arial"/>
                <w:sz w:val="16"/>
                <w:szCs w:val="16"/>
              </w:rPr>
            </w:pPr>
            <w:r>
              <w:rPr>
                <w:rFonts w:ascii="Arial" w:hAnsi="Arial" w:cs="Arial"/>
                <w:sz w:val="16"/>
                <w:szCs w:val="16"/>
              </w:rPr>
              <w:t>Commissions</w:t>
            </w:r>
          </w:p>
        </w:tc>
        <w:tc>
          <w:tcPr>
            <w:tcW w:w="185" w:type="dxa"/>
            <w:tcBorders>
              <w:top w:val="nil"/>
              <w:left w:val="nil"/>
              <w:bottom w:val="nil"/>
              <w:right w:val="nil"/>
            </w:tcBorders>
            <w:noWrap/>
            <w:vAlign w:val="center"/>
            <w:hideMark/>
          </w:tcPr>
          <w:p w14:paraId="066A5EB3"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39BFA336"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7E53293"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7ED1F0B7"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70C88F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16EFB943"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64B13B12" w14:textId="77777777" w:rsidTr="00A134C1">
        <w:trPr>
          <w:trHeight w:val="225"/>
        </w:trPr>
        <w:tc>
          <w:tcPr>
            <w:tcW w:w="4980" w:type="dxa"/>
            <w:tcBorders>
              <w:top w:val="nil"/>
              <w:left w:val="nil"/>
              <w:bottom w:val="nil"/>
              <w:right w:val="nil"/>
            </w:tcBorders>
            <w:noWrap/>
            <w:vAlign w:val="center"/>
            <w:hideMark/>
          </w:tcPr>
          <w:p w14:paraId="58AB9DB0" w14:textId="77777777" w:rsidR="00A134C1" w:rsidRDefault="00A134C1">
            <w:pPr>
              <w:rPr>
                <w:rFonts w:ascii="Arial" w:hAnsi="Arial" w:cs="Arial"/>
                <w:sz w:val="16"/>
                <w:szCs w:val="16"/>
              </w:rPr>
            </w:pPr>
            <w:r>
              <w:rPr>
                <w:rFonts w:ascii="Arial" w:hAnsi="Arial" w:cs="Arial"/>
                <w:sz w:val="16"/>
                <w:szCs w:val="16"/>
              </w:rPr>
              <w:t>Commissions - Conciergerie (internalisation)</w:t>
            </w:r>
          </w:p>
        </w:tc>
        <w:tc>
          <w:tcPr>
            <w:tcW w:w="185" w:type="dxa"/>
            <w:tcBorders>
              <w:top w:val="nil"/>
              <w:left w:val="nil"/>
              <w:bottom w:val="nil"/>
              <w:right w:val="nil"/>
            </w:tcBorders>
            <w:noWrap/>
            <w:vAlign w:val="center"/>
            <w:hideMark/>
          </w:tcPr>
          <w:p w14:paraId="4ACD6086"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43FCCA9F"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3F61CB6"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23B861FD"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7393E1A7"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B44AD18"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4793B8BE" w14:textId="77777777" w:rsidTr="00A134C1">
        <w:trPr>
          <w:trHeight w:val="225"/>
        </w:trPr>
        <w:tc>
          <w:tcPr>
            <w:tcW w:w="4980" w:type="dxa"/>
            <w:tcBorders>
              <w:top w:val="nil"/>
              <w:left w:val="nil"/>
              <w:bottom w:val="nil"/>
              <w:right w:val="nil"/>
            </w:tcBorders>
            <w:noWrap/>
            <w:vAlign w:val="center"/>
            <w:hideMark/>
          </w:tcPr>
          <w:p w14:paraId="7E341B12" w14:textId="77777777" w:rsidR="00A134C1" w:rsidRDefault="00A134C1">
            <w:pPr>
              <w:rPr>
                <w:rFonts w:ascii="Arial" w:hAnsi="Arial" w:cs="Arial"/>
                <w:sz w:val="16"/>
                <w:szCs w:val="16"/>
              </w:rPr>
            </w:pPr>
            <w:r>
              <w:rPr>
                <w:rFonts w:ascii="Arial" w:hAnsi="Arial" w:cs="Arial"/>
                <w:sz w:val="16"/>
                <w:szCs w:val="16"/>
              </w:rPr>
              <w:t>Maintenance</w:t>
            </w:r>
          </w:p>
        </w:tc>
        <w:tc>
          <w:tcPr>
            <w:tcW w:w="185" w:type="dxa"/>
            <w:tcBorders>
              <w:top w:val="nil"/>
              <w:left w:val="nil"/>
              <w:bottom w:val="nil"/>
              <w:right w:val="nil"/>
            </w:tcBorders>
            <w:noWrap/>
            <w:vAlign w:val="center"/>
            <w:hideMark/>
          </w:tcPr>
          <w:p w14:paraId="2FFF7335"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75F380DB" w14:textId="77777777" w:rsidR="00A134C1" w:rsidRDefault="00A134C1">
            <w:pPr>
              <w:jc w:val="right"/>
              <w:rPr>
                <w:rFonts w:ascii="Arial" w:hAnsi="Arial" w:cs="Arial"/>
                <w:color w:val="000000"/>
                <w:sz w:val="16"/>
                <w:szCs w:val="16"/>
              </w:rPr>
            </w:pPr>
            <w:r>
              <w:rPr>
                <w:rFonts w:ascii="Arial" w:hAnsi="Arial" w:cs="Arial"/>
                <w:color w:val="000000"/>
                <w:sz w:val="16"/>
                <w:szCs w:val="16"/>
              </w:rPr>
              <w:t>(1)</w:t>
            </w:r>
          </w:p>
        </w:tc>
        <w:tc>
          <w:tcPr>
            <w:tcW w:w="1000" w:type="dxa"/>
            <w:tcBorders>
              <w:top w:val="nil"/>
              <w:left w:val="nil"/>
              <w:bottom w:val="nil"/>
              <w:right w:val="nil"/>
            </w:tcBorders>
            <w:noWrap/>
            <w:vAlign w:val="center"/>
            <w:hideMark/>
          </w:tcPr>
          <w:p w14:paraId="19A35223" w14:textId="77777777" w:rsidR="00A134C1" w:rsidRDefault="00A134C1">
            <w:pPr>
              <w:jc w:val="right"/>
              <w:rPr>
                <w:rFonts w:ascii="Arial" w:hAnsi="Arial" w:cs="Arial"/>
                <w:color w:val="000000"/>
                <w:sz w:val="16"/>
                <w:szCs w:val="16"/>
              </w:rPr>
            </w:pPr>
            <w:r>
              <w:rPr>
                <w:rFonts w:ascii="Arial" w:hAnsi="Arial" w:cs="Arial"/>
                <w:color w:val="000000"/>
                <w:sz w:val="16"/>
                <w:szCs w:val="16"/>
              </w:rPr>
              <w:t>(1)</w:t>
            </w:r>
          </w:p>
        </w:tc>
        <w:tc>
          <w:tcPr>
            <w:tcW w:w="1000" w:type="dxa"/>
            <w:tcBorders>
              <w:top w:val="nil"/>
              <w:left w:val="nil"/>
              <w:bottom w:val="nil"/>
              <w:right w:val="nil"/>
            </w:tcBorders>
            <w:noWrap/>
            <w:vAlign w:val="center"/>
            <w:hideMark/>
          </w:tcPr>
          <w:p w14:paraId="2992D6DE" w14:textId="77777777" w:rsidR="00A134C1" w:rsidRDefault="00A134C1">
            <w:pPr>
              <w:jc w:val="right"/>
              <w:rPr>
                <w:rFonts w:ascii="Arial" w:hAnsi="Arial" w:cs="Arial"/>
                <w:color w:val="000000"/>
                <w:sz w:val="16"/>
                <w:szCs w:val="16"/>
              </w:rPr>
            </w:pPr>
            <w:r>
              <w:rPr>
                <w:rFonts w:ascii="Arial" w:hAnsi="Arial" w:cs="Arial"/>
                <w:color w:val="000000"/>
                <w:sz w:val="16"/>
                <w:szCs w:val="16"/>
              </w:rPr>
              <w:t>(1)</w:t>
            </w:r>
          </w:p>
        </w:tc>
        <w:tc>
          <w:tcPr>
            <w:tcW w:w="1000" w:type="dxa"/>
            <w:tcBorders>
              <w:top w:val="nil"/>
              <w:left w:val="nil"/>
              <w:bottom w:val="nil"/>
              <w:right w:val="nil"/>
            </w:tcBorders>
            <w:noWrap/>
            <w:vAlign w:val="center"/>
            <w:hideMark/>
          </w:tcPr>
          <w:p w14:paraId="0149C770"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c>
          <w:tcPr>
            <w:tcW w:w="1000" w:type="dxa"/>
            <w:tcBorders>
              <w:top w:val="nil"/>
              <w:left w:val="nil"/>
              <w:bottom w:val="nil"/>
              <w:right w:val="nil"/>
            </w:tcBorders>
            <w:noWrap/>
            <w:vAlign w:val="center"/>
            <w:hideMark/>
          </w:tcPr>
          <w:p w14:paraId="0674BD6D"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r>
      <w:tr w:rsidR="00A134C1" w14:paraId="09C05F52" w14:textId="77777777" w:rsidTr="00A134C1">
        <w:trPr>
          <w:trHeight w:val="225"/>
        </w:trPr>
        <w:tc>
          <w:tcPr>
            <w:tcW w:w="4980" w:type="dxa"/>
            <w:tcBorders>
              <w:top w:val="nil"/>
              <w:left w:val="nil"/>
              <w:bottom w:val="nil"/>
              <w:right w:val="nil"/>
            </w:tcBorders>
            <w:noWrap/>
            <w:vAlign w:val="center"/>
            <w:hideMark/>
          </w:tcPr>
          <w:p w14:paraId="09233491" w14:textId="77777777" w:rsidR="00A134C1" w:rsidRDefault="00A134C1">
            <w:pPr>
              <w:rPr>
                <w:rFonts w:ascii="Arial" w:hAnsi="Arial" w:cs="Arial"/>
                <w:sz w:val="16"/>
                <w:szCs w:val="16"/>
              </w:rPr>
            </w:pPr>
            <w:r>
              <w:rPr>
                <w:rFonts w:ascii="Arial" w:hAnsi="Arial" w:cs="Arial"/>
                <w:sz w:val="16"/>
                <w:szCs w:val="16"/>
              </w:rPr>
              <w:t>Honoraires</w:t>
            </w:r>
          </w:p>
        </w:tc>
        <w:tc>
          <w:tcPr>
            <w:tcW w:w="185" w:type="dxa"/>
            <w:tcBorders>
              <w:top w:val="nil"/>
              <w:left w:val="nil"/>
              <w:bottom w:val="nil"/>
              <w:right w:val="nil"/>
            </w:tcBorders>
            <w:noWrap/>
            <w:vAlign w:val="center"/>
            <w:hideMark/>
          </w:tcPr>
          <w:p w14:paraId="26A4433E"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06B46D94"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2DC8841"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7163F602"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22E1A71C"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5D4A4B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30879524" w14:textId="77777777" w:rsidTr="00A134C1">
        <w:trPr>
          <w:trHeight w:val="225"/>
        </w:trPr>
        <w:tc>
          <w:tcPr>
            <w:tcW w:w="4980" w:type="dxa"/>
            <w:tcBorders>
              <w:top w:val="nil"/>
              <w:left w:val="nil"/>
              <w:bottom w:val="nil"/>
              <w:right w:val="nil"/>
            </w:tcBorders>
            <w:noWrap/>
            <w:vAlign w:val="center"/>
            <w:hideMark/>
          </w:tcPr>
          <w:p w14:paraId="341587E9" w14:textId="77777777" w:rsidR="00A134C1" w:rsidRDefault="00A134C1">
            <w:pPr>
              <w:rPr>
                <w:rFonts w:ascii="Arial" w:hAnsi="Arial" w:cs="Arial"/>
                <w:sz w:val="16"/>
                <w:szCs w:val="16"/>
              </w:rPr>
            </w:pPr>
            <w:r>
              <w:rPr>
                <w:rFonts w:ascii="Arial" w:hAnsi="Arial" w:cs="Arial"/>
                <w:sz w:val="16"/>
                <w:szCs w:val="16"/>
              </w:rPr>
              <w:t>Honoraires Sindy Management</w:t>
            </w:r>
          </w:p>
        </w:tc>
        <w:tc>
          <w:tcPr>
            <w:tcW w:w="185" w:type="dxa"/>
            <w:tcBorders>
              <w:top w:val="nil"/>
              <w:left w:val="nil"/>
              <w:bottom w:val="nil"/>
              <w:right w:val="nil"/>
            </w:tcBorders>
            <w:noWrap/>
            <w:vAlign w:val="center"/>
            <w:hideMark/>
          </w:tcPr>
          <w:p w14:paraId="390BB52F"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1132A71E"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F41D19C"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7B1331D9"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2A6C4C6B"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17BC5EA5"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3D3C6825" w14:textId="77777777" w:rsidTr="00A134C1">
        <w:trPr>
          <w:trHeight w:val="225"/>
        </w:trPr>
        <w:tc>
          <w:tcPr>
            <w:tcW w:w="4980" w:type="dxa"/>
            <w:tcBorders>
              <w:top w:val="nil"/>
              <w:left w:val="nil"/>
              <w:bottom w:val="nil"/>
              <w:right w:val="nil"/>
            </w:tcBorders>
            <w:noWrap/>
            <w:vAlign w:val="center"/>
            <w:hideMark/>
          </w:tcPr>
          <w:p w14:paraId="5C715E91" w14:textId="77777777" w:rsidR="00A134C1" w:rsidRDefault="00A134C1">
            <w:pPr>
              <w:rPr>
                <w:rFonts w:ascii="Arial" w:hAnsi="Arial" w:cs="Arial"/>
                <w:sz w:val="16"/>
                <w:szCs w:val="16"/>
              </w:rPr>
            </w:pPr>
            <w:r>
              <w:rPr>
                <w:rFonts w:ascii="Arial" w:hAnsi="Arial" w:cs="Arial"/>
                <w:sz w:val="16"/>
                <w:szCs w:val="16"/>
              </w:rPr>
              <w:t>Autres frais généraux</w:t>
            </w:r>
          </w:p>
        </w:tc>
        <w:tc>
          <w:tcPr>
            <w:tcW w:w="185" w:type="dxa"/>
            <w:tcBorders>
              <w:top w:val="nil"/>
              <w:left w:val="nil"/>
              <w:bottom w:val="nil"/>
              <w:right w:val="nil"/>
            </w:tcBorders>
            <w:noWrap/>
            <w:vAlign w:val="center"/>
            <w:hideMark/>
          </w:tcPr>
          <w:p w14:paraId="0445CE60"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050AE95C"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0EA70F8B"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3A0C05E9"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7A4BA13E"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4275D36A"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r>
      <w:tr w:rsidR="00A134C1" w14:paraId="507542C1" w14:textId="77777777" w:rsidTr="00A134C1">
        <w:trPr>
          <w:trHeight w:val="225"/>
        </w:trPr>
        <w:tc>
          <w:tcPr>
            <w:tcW w:w="4980" w:type="dxa"/>
            <w:tcBorders>
              <w:top w:val="nil"/>
              <w:left w:val="nil"/>
              <w:bottom w:val="nil"/>
              <w:right w:val="nil"/>
            </w:tcBorders>
            <w:noWrap/>
            <w:vAlign w:val="center"/>
            <w:hideMark/>
          </w:tcPr>
          <w:p w14:paraId="517416BA" w14:textId="77777777" w:rsidR="00A134C1" w:rsidRDefault="00A134C1">
            <w:pPr>
              <w:rPr>
                <w:rFonts w:ascii="Arial" w:hAnsi="Arial" w:cs="Arial"/>
                <w:sz w:val="16"/>
                <w:szCs w:val="16"/>
              </w:rPr>
            </w:pPr>
            <w:r>
              <w:rPr>
                <w:rFonts w:ascii="Arial" w:hAnsi="Arial" w:cs="Arial"/>
                <w:sz w:val="16"/>
                <w:szCs w:val="16"/>
              </w:rPr>
              <w:t>Frais bancaires</w:t>
            </w:r>
          </w:p>
        </w:tc>
        <w:tc>
          <w:tcPr>
            <w:tcW w:w="185" w:type="dxa"/>
            <w:tcBorders>
              <w:top w:val="nil"/>
              <w:left w:val="nil"/>
              <w:bottom w:val="nil"/>
              <w:right w:val="nil"/>
            </w:tcBorders>
            <w:noWrap/>
            <w:vAlign w:val="center"/>
            <w:hideMark/>
          </w:tcPr>
          <w:p w14:paraId="6D98BBC1"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1767C151"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27010F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2048046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5DE15D4"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33F81CCA"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3A5D2603" w14:textId="77777777" w:rsidTr="00A134C1">
        <w:trPr>
          <w:trHeight w:val="225"/>
        </w:trPr>
        <w:tc>
          <w:tcPr>
            <w:tcW w:w="4980" w:type="dxa"/>
            <w:tcBorders>
              <w:top w:val="nil"/>
              <w:left w:val="nil"/>
              <w:bottom w:val="nil"/>
              <w:right w:val="nil"/>
            </w:tcBorders>
            <w:noWrap/>
            <w:vAlign w:val="center"/>
            <w:hideMark/>
          </w:tcPr>
          <w:p w14:paraId="3D8EC9FE" w14:textId="77777777" w:rsidR="00A134C1" w:rsidRDefault="00A134C1">
            <w:pPr>
              <w:rPr>
                <w:rFonts w:ascii="Arial" w:hAnsi="Arial" w:cs="Arial"/>
                <w:sz w:val="16"/>
                <w:szCs w:val="16"/>
              </w:rPr>
            </w:pPr>
            <w:r>
              <w:rPr>
                <w:rFonts w:ascii="Arial" w:hAnsi="Arial" w:cs="Arial"/>
                <w:sz w:val="16"/>
                <w:szCs w:val="16"/>
              </w:rPr>
              <w:t>Frais de personnel</w:t>
            </w:r>
          </w:p>
        </w:tc>
        <w:tc>
          <w:tcPr>
            <w:tcW w:w="185" w:type="dxa"/>
            <w:tcBorders>
              <w:top w:val="nil"/>
              <w:left w:val="nil"/>
              <w:bottom w:val="nil"/>
              <w:right w:val="nil"/>
            </w:tcBorders>
            <w:noWrap/>
            <w:vAlign w:val="center"/>
            <w:hideMark/>
          </w:tcPr>
          <w:p w14:paraId="29E7F3FC"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4287D4CD"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FFB9689"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21CAEC59"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0D9DF70"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15D7BA4"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139DEAD2" w14:textId="77777777" w:rsidTr="00A134C1">
        <w:trPr>
          <w:trHeight w:val="225"/>
        </w:trPr>
        <w:tc>
          <w:tcPr>
            <w:tcW w:w="4980" w:type="dxa"/>
            <w:tcBorders>
              <w:top w:val="nil"/>
              <w:left w:val="nil"/>
              <w:bottom w:val="nil"/>
              <w:right w:val="nil"/>
            </w:tcBorders>
            <w:noWrap/>
            <w:vAlign w:val="center"/>
            <w:hideMark/>
          </w:tcPr>
          <w:p w14:paraId="22880175" w14:textId="77777777" w:rsidR="00A134C1" w:rsidRDefault="00A134C1">
            <w:pPr>
              <w:rPr>
                <w:rFonts w:ascii="Arial" w:hAnsi="Arial" w:cs="Arial"/>
                <w:sz w:val="16"/>
                <w:szCs w:val="16"/>
              </w:rPr>
            </w:pPr>
            <w:r>
              <w:rPr>
                <w:rFonts w:ascii="Arial" w:hAnsi="Arial" w:cs="Arial"/>
                <w:sz w:val="16"/>
                <w:szCs w:val="16"/>
              </w:rPr>
              <w:t>Frais de personnel - Conciergerie (internalisation)</w:t>
            </w:r>
          </w:p>
        </w:tc>
        <w:tc>
          <w:tcPr>
            <w:tcW w:w="185" w:type="dxa"/>
            <w:tcBorders>
              <w:top w:val="nil"/>
              <w:left w:val="nil"/>
              <w:bottom w:val="nil"/>
              <w:right w:val="nil"/>
            </w:tcBorders>
            <w:noWrap/>
            <w:vAlign w:val="center"/>
            <w:hideMark/>
          </w:tcPr>
          <w:p w14:paraId="56AC9A1A"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36A0C4EB"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0AF2D4F"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B6A038B"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D16CF26"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4F15D51F"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245901DE" w14:textId="77777777" w:rsidTr="00A134C1">
        <w:trPr>
          <w:trHeight w:val="225"/>
        </w:trPr>
        <w:tc>
          <w:tcPr>
            <w:tcW w:w="4980" w:type="dxa"/>
            <w:tcBorders>
              <w:top w:val="nil"/>
              <w:left w:val="nil"/>
              <w:bottom w:val="nil"/>
              <w:right w:val="nil"/>
            </w:tcBorders>
            <w:noWrap/>
            <w:vAlign w:val="center"/>
            <w:hideMark/>
          </w:tcPr>
          <w:p w14:paraId="2C4624A0" w14:textId="77777777" w:rsidR="00A134C1" w:rsidRDefault="00A134C1">
            <w:pPr>
              <w:rPr>
                <w:rFonts w:ascii="Arial" w:hAnsi="Arial" w:cs="Arial"/>
                <w:sz w:val="16"/>
                <w:szCs w:val="16"/>
              </w:rPr>
            </w:pPr>
            <w:r>
              <w:rPr>
                <w:rFonts w:ascii="Arial" w:hAnsi="Arial" w:cs="Arial"/>
                <w:sz w:val="16"/>
                <w:szCs w:val="16"/>
              </w:rPr>
              <w:t>Impôts et taxes</w:t>
            </w:r>
          </w:p>
        </w:tc>
        <w:tc>
          <w:tcPr>
            <w:tcW w:w="185" w:type="dxa"/>
            <w:tcBorders>
              <w:top w:val="nil"/>
              <w:left w:val="nil"/>
              <w:bottom w:val="nil"/>
              <w:right w:val="nil"/>
            </w:tcBorders>
            <w:noWrap/>
            <w:vAlign w:val="center"/>
            <w:hideMark/>
          </w:tcPr>
          <w:p w14:paraId="19F7D9A8"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5465B91A"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c>
          <w:tcPr>
            <w:tcW w:w="1000" w:type="dxa"/>
            <w:tcBorders>
              <w:top w:val="nil"/>
              <w:left w:val="nil"/>
              <w:bottom w:val="nil"/>
              <w:right w:val="nil"/>
            </w:tcBorders>
            <w:noWrap/>
            <w:vAlign w:val="center"/>
            <w:hideMark/>
          </w:tcPr>
          <w:p w14:paraId="5D7B07B0"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c>
          <w:tcPr>
            <w:tcW w:w="1000" w:type="dxa"/>
            <w:tcBorders>
              <w:top w:val="nil"/>
              <w:left w:val="nil"/>
              <w:bottom w:val="nil"/>
              <w:right w:val="nil"/>
            </w:tcBorders>
            <w:noWrap/>
            <w:vAlign w:val="center"/>
            <w:hideMark/>
          </w:tcPr>
          <w:p w14:paraId="53E2E4B2"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c>
          <w:tcPr>
            <w:tcW w:w="1000" w:type="dxa"/>
            <w:tcBorders>
              <w:top w:val="nil"/>
              <w:left w:val="nil"/>
              <w:bottom w:val="nil"/>
              <w:right w:val="nil"/>
            </w:tcBorders>
            <w:noWrap/>
            <w:vAlign w:val="center"/>
            <w:hideMark/>
          </w:tcPr>
          <w:p w14:paraId="426C60DF"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c>
          <w:tcPr>
            <w:tcW w:w="1000" w:type="dxa"/>
            <w:tcBorders>
              <w:top w:val="nil"/>
              <w:left w:val="nil"/>
              <w:bottom w:val="nil"/>
              <w:right w:val="nil"/>
            </w:tcBorders>
            <w:noWrap/>
            <w:vAlign w:val="center"/>
            <w:hideMark/>
          </w:tcPr>
          <w:p w14:paraId="52CD2D8B" w14:textId="77777777" w:rsidR="00A134C1" w:rsidRDefault="00A134C1">
            <w:pPr>
              <w:jc w:val="right"/>
              <w:rPr>
                <w:rFonts w:ascii="Arial" w:hAnsi="Arial" w:cs="Arial"/>
                <w:color w:val="000000"/>
                <w:sz w:val="16"/>
                <w:szCs w:val="16"/>
              </w:rPr>
            </w:pPr>
            <w:r>
              <w:rPr>
                <w:rFonts w:ascii="Arial" w:hAnsi="Arial" w:cs="Arial"/>
                <w:color w:val="000000"/>
                <w:sz w:val="16"/>
                <w:szCs w:val="16"/>
              </w:rPr>
              <w:t>(2)</w:t>
            </w:r>
          </w:p>
        </w:tc>
      </w:tr>
      <w:tr w:rsidR="00A134C1" w14:paraId="6CA16A44" w14:textId="77777777" w:rsidTr="00A134C1">
        <w:trPr>
          <w:trHeight w:val="225"/>
        </w:trPr>
        <w:tc>
          <w:tcPr>
            <w:tcW w:w="4980" w:type="dxa"/>
            <w:tcBorders>
              <w:top w:val="nil"/>
              <w:left w:val="nil"/>
              <w:bottom w:val="nil"/>
              <w:right w:val="nil"/>
            </w:tcBorders>
            <w:noWrap/>
            <w:vAlign w:val="center"/>
            <w:hideMark/>
          </w:tcPr>
          <w:p w14:paraId="05A9695C" w14:textId="77777777" w:rsidR="00A134C1" w:rsidRDefault="00A134C1">
            <w:pPr>
              <w:rPr>
                <w:rFonts w:ascii="Arial" w:hAnsi="Arial" w:cs="Arial"/>
                <w:sz w:val="16"/>
                <w:szCs w:val="16"/>
              </w:rPr>
            </w:pPr>
            <w:r>
              <w:rPr>
                <w:rFonts w:ascii="Arial" w:hAnsi="Arial" w:cs="Arial"/>
                <w:sz w:val="16"/>
                <w:szCs w:val="16"/>
              </w:rPr>
              <w:t xml:space="preserve">Management </w:t>
            </w:r>
            <w:proofErr w:type="spellStart"/>
            <w:r>
              <w:rPr>
                <w:rFonts w:ascii="Arial" w:hAnsi="Arial" w:cs="Arial"/>
                <w:sz w:val="16"/>
                <w:szCs w:val="16"/>
              </w:rPr>
              <w:t>fees</w:t>
            </w:r>
            <w:proofErr w:type="spellEnd"/>
            <w:r>
              <w:rPr>
                <w:rFonts w:ascii="Arial" w:hAnsi="Arial" w:cs="Arial"/>
                <w:sz w:val="16"/>
                <w:szCs w:val="16"/>
              </w:rPr>
              <w:t xml:space="preserve"> refacturés par HFI à ses filiales</w:t>
            </w:r>
          </w:p>
        </w:tc>
        <w:tc>
          <w:tcPr>
            <w:tcW w:w="185" w:type="dxa"/>
            <w:tcBorders>
              <w:top w:val="nil"/>
              <w:left w:val="nil"/>
              <w:bottom w:val="nil"/>
              <w:right w:val="nil"/>
            </w:tcBorders>
            <w:noWrap/>
            <w:vAlign w:val="center"/>
            <w:hideMark/>
          </w:tcPr>
          <w:p w14:paraId="4F3B9B61"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3CC4B17A"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60D97BF8"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1275D374"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4D3DD45E"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c>
          <w:tcPr>
            <w:tcW w:w="1000" w:type="dxa"/>
            <w:tcBorders>
              <w:top w:val="nil"/>
              <w:left w:val="nil"/>
              <w:bottom w:val="nil"/>
              <w:right w:val="nil"/>
            </w:tcBorders>
            <w:noWrap/>
            <w:vAlign w:val="center"/>
            <w:hideMark/>
          </w:tcPr>
          <w:p w14:paraId="58090213" w14:textId="77777777" w:rsidR="00A134C1" w:rsidRDefault="00A134C1">
            <w:pPr>
              <w:jc w:val="right"/>
              <w:rPr>
                <w:rFonts w:ascii="Arial" w:hAnsi="Arial" w:cs="Arial"/>
                <w:color w:val="000000"/>
                <w:sz w:val="16"/>
                <w:szCs w:val="16"/>
              </w:rPr>
            </w:pPr>
            <w:r>
              <w:rPr>
                <w:rFonts w:ascii="Arial" w:hAnsi="Arial" w:cs="Arial"/>
                <w:color w:val="000000"/>
                <w:sz w:val="16"/>
                <w:szCs w:val="16"/>
              </w:rPr>
              <w:t>(4)</w:t>
            </w:r>
          </w:p>
        </w:tc>
      </w:tr>
      <w:tr w:rsidR="00A134C1" w14:paraId="1A7998BF" w14:textId="77777777" w:rsidTr="00A134C1">
        <w:trPr>
          <w:trHeight w:val="108"/>
        </w:trPr>
        <w:tc>
          <w:tcPr>
            <w:tcW w:w="4980" w:type="dxa"/>
            <w:tcBorders>
              <w:top w:val="nil"/>
              <w:left w:val="nil"/>
              <w:bottom w:val="nil"/>
              <w:right w:val="nil"/>
            </w:tcBorders>
            <w:noWrap/>
            <w:vAlign w:val="center"/>
            <w:hideMark/>
          </w:tcPr>
          <w:p w14:paraId="0776AAF8" w14:textId="77777777" w:rsidR="00A134C1" w:rsidRDefault="00A134C1">
            <w:pPr>
              <w:jc w:val="right"/>
              <w:rPr>
                <w:rFonts w:ascii="Arial" w:hAnsi="Arial" w:cs="Arial"/>
                <w:color w:val="000000"/>
                <w:sz w:val="16"/>
                <w:szCs w:val="16"/>
              </w:rPr>
            </w:pPr>
          </w:p>
        </w:tc>
        <w:tc>
          <w:tcPr>
            <w:tcW w:w="185" w:type="dxa"/>
            <w:tcBorders>
              <w:top w:val="nil"/>
              <w:left w:val="nil"/>
              <w:bottom w:val="nil"/>
              <w:right w:val="nil"/>
            </w:tcBorders>
            <w:noWrap/>
            <w:vAlign w:val="center"/>
            <w:hideMark/>
          </w:tcPr>
          <w:p w14:paraId="6E898DBC" w14:textId="77777777" w:rsidR="00A134C1" w:rsidRDefault="00A134C1">
            <w:pPr>
              <w:rPr>
                <w:sz w:val="20"/>
                <w:szCs w:val="20"/>
              </w:rPr>
            </w:pPr>
          </w:p>
        </w:tc>
        <w:tc>
          <w:tcPr>
            <w:tcW w:w="1000" w:type="dxa"/>
            <w:tcBorders>
              <w:top w:val="nil"/>
              <w:left w:val="nil"/>
              <w:bottom w:val="nil"/>
              <w:right w:val="nil"/>
            </w:tcBorders>
            <w:noWrap/>
            <w:vAlign w:val="center"/>
            <w:hideMark/>
          </w:tcPr>
          <w:p w14:paraId="2E0F547E" w14:textId="77777777" w:rsidR="00A134C1" w:rsidRDefault="00A134C1">
            <w:pPr>
              <w:rPr>
                <w:sz w:val="20"/>
                <w:szCs w:val="20"/>
              </w:rPr>
            </w:pPr>
          </w:p>
        </w:tc>
        <w:tc>
          <w:tcPr>
            <w:tcW w:w="1000" w:type="dxa"/>
            <w:tcBorders>
              <w:top w:val="nil"/>
              <w:left w:val="nil"/>
              <w:bottom w:val="nil"/>
              <w:right w:val="nil"/>
            </w:tcBorders>
            <w:noWrap/>
            <w:vAlign w:val="center"/>
            <w:hideMark/>
          </w:tcPr>
          <w:p w14:paraId="1D292E88"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4FEAD931"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7F9B1912"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7C1DB36F" w14:textId="77777777" w:rsidR="00A134C1" w:rsidRDefault="00A134C1">
            <w:pPr>
              <w:jc w:val="right"/>
              <w:rPr>
                <w:sz w:val="20"/>
                <w:szCs w:val="20"/>
              </w:rPr>
            </w:pPr>
          </w:p>
        </w:tc>
      </w:tr>
      <w:tr w:rsidR="00A134C1" w14:paraId="16A2E219" w14:textId="77777777" w:rsidTr="00A134C1">
        <w:trPr>
          <w:trHeight w:val="225"/>
        </w:trPr>
        <w:tc>
          <w:tcPr>
            <w:tcW w:w="4980" w:type="dxa"/>
            <w:tcBorders>
              <w:top w:val="single" w:sz="4" w:space="0" w:color="7F7F7F"/>
              <w:left w:val="nil"/>
              <w:bottom w:val="single" w:sz="4" w:space="0" w:color="7F7F7F"/>
              <w:right w:val="nil"/>
            </w:tcBorders>
            <w:shd w:val="clear" w:color="000000" w:fill="ECF2F8"/>
            <w:noWrap/>
            <w:vAlign w:val="center"/>
            <w:hideMark/>
          </w:tcPr>
          <w:p w14:paraId="45E58EC2" w14:textId="77777777" w:rsidR="00A134C1" w:rsidRDefault="00A134C1">
            <w:pPr>
              <w:rPr>
                <w:rFonts w:ascii="Arial" w:hAnsi="Arial" w:cs="Arial"/>
                <w:b/>
                <w:bCs/>
                <w:color w:val="000000"/>
                <w:sz w:val="16"/>
                <w:szCs w:val="16"/>
              </w:rPr>
            </w:pPr>
            <w:r>
              <w:rPr>
                <w:rFonts w:ascii="Arial" w:hAnsi="Arial" w:cs="Arial"/>
                <w:b/>
                <w:bCs/>
                <w:color w:val="000000"/>
                <w:sz w:val="16"/>
                <w:szCs w:val="16"/>
              </w:rPr>
              <w:t>EBITDA</w:t>
            </w:r>
          </w:p>
        </w:tc>
        <w:tc>
          <w:tcPr>
            <w:tcW w:w="185" w:type="dxa"/>
            <w:tcBorders>
              <w:top w:val="single" w:sz="4" w:space="0" w:color="7F7F7F"/>
              <w:left w:val="nil"/>
              <w:bottom w:val="single" w:sz="4" w:space="0" w:color="7F7F7F"/>
              <w:right w:val="nil"/>
            </w:tcBorders>
            <w:shd w:val="clear" w:color="000000" w:fill="ECF2F8"/>
            <w:noWrap/>
            <w:vAlign w:val="center"/>
            <w:hideMark/>
          </w:tcPr>
          <w:p w14:paraId="12A28B3C" w14:textId="77777777" w:rsidR="00A134C1" w:rsidRDefault="00A134C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00C43FB6"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17 </w:t>
            </w:r>
          </w:p>
        </w:tc>
        <w:tc>
          <w:tcPr>
            <w:tcW w:w="1000" w:type="dxa"/>
            <w:tcBorders>
              <w:top w:val="single" w:sz="4" w:space="0" w:color="7F7F7F"/>
              <w:left w:val="nil"/>
              <w:bottom w:val="single" w:sz="4" w:space="0" w:color="7F7F7F"/>
              <w:right w:val="nil"/>
            </w:tcBorders>
            <w:shd w:val="clear" w:color="000000" w:fill="ECF2F8"/>
            <w:noWrap/>
            <w:vAlign w:val="center"/>
            <w:hideMark/>
          </w:tcPr>
          <w:p w14:paraId="03CCE477"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18 </w:t>
            </w:r>
          </w:p>
        </w:tc>
        <w:tc>
          <w:tcPr>
            <w:tcW w:w="1000" w:type="dxa"/>
            <w:tcBorders>
              <w:top w:val="single" w:sz="4" w:space="0" w:color="7F7F7F"/>
              <w:left w:val="nil"/>
              <w:bottom w:val="single" w:sz="4" w:space="0" w:color="7F7F7F"/>
              <w:right w:val="nil"/>
            </w:tcBorders>
            <w:shd w:val="clear" w:color="000000" w:fill="ECF2F8"/>
            <w:noWrap/>
            <w:vAlign w:val="center"/>
            <w:hideMark/>
          </w:tcPr>
          <w:p w14:paraId="6665574F"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19 </w:t>
            </w:r>
          </w:p>
        </w:tc>
        <w:tc>
          <w:tcPr>
            <w:tcW w:w="1000" w:type="dxa"/>
            <w:tcBorders>
              <w:top w:val="single" w:sz="4" w:space="0" w:color="7F7F7F"/>
              <w:left w:val="nil"/>
              <w:bottom w:val="single" w:sz="4" w:space="0" w:color="7F7F7F"/>
              <w:right w:val="nil"/>
            </w:tcBorders>
            <w:shd w:val="clear" w:color="000000" w:fill="ECF2F8"/>
            <w:noWrap/>
            <w:vAlign w:val="center"/>
            <w:hideMark/>
          </w:tcPr>
          <w:p w14:paraId="58D3723C"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19 </w:t>
            </w:r>
          </w:p>
        </w:tc>
        <w:tc>
          <w:tcPr>
            <w:tcW w:w="1000" w:type="dxa"/>
            <w:tcBorders>
              <w:top w:val="single" w:sz="4" w:space="0" w:color="7F7F7F"/>
              <w:left w:val="nil"/>
              <w:bottom w:val="single" w:sz="4" w:space="0" w:color="7F7F7F"/>
              <w:right w:val="nil"/>
            </w:tcBorders>
            <w:shd w:val="clear" w:color="000000" w:fill="ECF2F8"/>
            <w:noWrap/>
            <w:vAlign w:val="center"/>
            <w:hideMark/>
          </w:tcPr>
          <w:p w14:paraId="42D23E0A"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20 </w:t>
            </w:r>
          </w:p>
        </w:tc>
      </w:tr>
      <w:tr w:rsidR="00A134C1" w14:paraId="64A03F99" w14:textId="77777777" w:rsidTr="00A134C1">
        <w:trPr>
          <w:trHeight w:val="108"/>
        </w:trPr>
        <w:tc>
          <w:tcPr>
            <w:tcW w:w="4980" w:type="dxa"/>
            <w:tcBorders>
              <w:top w:val="nil"/>
              <w:left w:val="nil"/>
              <w:bottom w:val="nil"/>
              <w:right w:val="nil"/>
            </w:tcBorders>
            <w:noWrap/>
            <w:vAlign w:val="center"/>
            <w:hideMark/>
          </w:tcPr>
          <w:p w14:paraId="01C8921B" w14:textId="77777777" w:rsidR="00A134C1" w:rsidRDefault="00A134C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0699D20E" w14:textId="77777777" w:rsidR="00A134C1" w:rsidRDefault="00A134C1">
            <w:pPr>
              <w:rPr>
                <w:sz w:val="20"/>
                <w:szCs w:val="20"/>
              </w:rPr>
            </w:pPr>
          </w:p>
        </w:tc>
        <w:tc>
          <w:tcPr>
            <w:tcW w:w="1000" w:type="dxa"/>
            <w:tcBorders>
              <w:top w:val="nil"/>
              <w:left w:val="nil"/>
              <w:bottom w:val="nil"/>
              <w:right w:val="nil"/>
            </w:tcBorders>
            <w:noWrap/>
            <w:vAlign w:val="center"/>
            <w:hideMark/>
          </w:tcPr>
          <w:p w14:paraId="561C1810" w14:textId="77777777" w:rsidR="00A134C1" w:rsidRDefault="00A134C1">
            <w:pPr>
              <w:rPr>
                <w:sz w:val="20"/>
                <w:szCs w:val="20"/>
              </w:rPr>
            </w:pPr>
          </w:p>
        </w:tc>
        <w:tc>
          <w:tcPr>
            <w:tcW w:w="1000" w:type="dxa"/>
            <w:tcBorders>
              <w:top w:val="nil"/>
              <w:left w:val="nil"/>
              <w:bottom w:val="nil"/>
              <w:right w:val="nil"/>
            </w:tcBorders>
            <w:noWrap/>
            <w:vAlign w:val="center"/>
            <w:hideMark/>
          </w:tcPr>
          <w:p w14:paraId="0ED3F865"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74ECF608"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41A78BB7"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53A7BA3B" w14:textId="77777777" w:rsidR="00A134C1" w:rsidRDefault="00A134C1">
            <w:pPr>
              <w:jc w:val="right"/>
              <w:rPr>
                <w:sz w:val="20"/>
                <w:szCs w:val="20"/>
              </w:rPr>
            </w:pPr>
          </w:p>
        </w:tc>
      </w:tr>
      <w:tr w:rsidR="00A134C1" w14:paraId="2326275B" w14:textId="77777777" w:rsidTr="00A134C1">
        <w:trPr>
          <w:trHeight w:val="225"/>
        </w:trPr>
        <w:tc>
          <w:tcPr>
            <w:tcW w:w="4980" w:type="dxa"/>
            <w:tcBorders>
              <w:top w:val="nil"/>
              <w:left w:val="nil"/>
              <w:bottom w:val="nil"/>
              <w:right w:val="nil"/>
            </w:tcBorders>
            <w:noWrap/>
            <w:vAlign w:val="center"/>
            <w:hideMark/>
          </w:tcPr>
          <w:p w14:paraId="72B4CC70" w14:textId="77777777" w:rsidR="00A134C1" w:rsidRDefault="00A134C1">
            <w:pPr>
              <w:rPr>
                <w:rFonts w:ascii="Arial" w:hAnsi="Arial" w:cs="Arial"/>
                <w:sz w:val="16"/>
                <w:szCs w:val="16"/>
              </w:rPr>
            </w:pPr>
            <w:r>
              <w:rPr>
                <w:rFonts w:ascii="Arial" w:hAnsi="Arial" w:cs="Arial"/>
                <w:sz w:val="16"/>
                <w:szCs w:val="16"/>
              </w:rPr>
              <w:t>D&amp;A - CAPEX de rénovation</w:t>
            </w:r>
          </w:p>
        </w:tc>
        <w:tc>
          <w:tcPr>
            <w:tcW w:w="185" w:type="dxa"/>
            <w:tcBorders>
              <w:top w:val="nil"/>
              <w:left w:val="nil"/>
              <w:bottom w:val="nil"/>
              <w:right w:val="nil"/>
            </w:tcBorders>
            <w:noWrap/>
            <w:vAlign w:val="center"/>
            <w:hideMark/>
          </w:tcPr>
          <w:p w14:paraId="1D13C832"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1AF3E209"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19332BC5"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5B22D664"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6287B283"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c>
          <w:tcPr>
            <w:tcW w:w="1000" w:type="dxa"/>
            <w:tcBorders>
              <w:top w:val="nil"/>
              <w:left w:val="nil"/>
              <w:bottom w:val="nil"/>
              <w:right w:val="nil"/>
            </w:tcBorders>
            <w:noWrap/>
            <w:vAlign w:val="center"/>
            <w:hideMark/>
          </w:tcPr>
          <w:p w14:paraId="0AD832EB" w14:textId="77777777" w:rsidR="00A134C1" w:rsidRDefault="00A134C1">
            <w:pPr>
              <w:jc w:val="right"/>
              <w:rPr>
                <w:rFonts w:ascii="Arial" w:hAnsi="Arial" w:cs="Arial"/>
                <w:color w:val="000000"/>
                <w:sz w:val="16"/>
                <w:szCs w:val="16"/>
              </w:rPr>
            </w:pPr>
            <w:r>
              <w:rPr>
                <w:rFonts w:ascii="Arial" w:hAnsi="Arial" w:cs="Arial"/>
                <w:color w:val="000000"/>
                <w:sz w:val="16"/>
                <w:szCs w:val="16"/>
              </w:rPr>
              <w:t xml:space="preserve">- </w:t>
            </w:r>
          </w:p>
        </w:tc>
      </w:tr>
      <w:tr w:rsidR="00A134C1" w14:paraId="32A7B0F6" w14:textId="77777777" w:rsidTr="00A134C1">
        <w:trPr>
          <w:trHeight w:val="108"/>
        </w:trPr>
        <w:tc>
          <w:tcPr>
            <w:tcW w:w="4980" w:type="dxa"/>
            <w:tcBorders>
              <w:top w:val="nil"/>
              <w:left w:val="nil"/>
              <w:bottom w:val="nil"/>
              <w:right w:val="nil"/>
            </w:tcBorders>
            <w:noWrap/>
            <w:vAlign w:val="center"/>
            <w:hideMark/>
          </w:tcPr>
          <w:p w14:paraId="09C09A90" w14:textId="77777777" w:rsidR="00A134C1" w:rsidRDefault="00A134C1">
            <w:pPr>
              <w:jc w:val="right"/>
              <w:rPr>
                <w:rFonts w:ascii="Arial" w:hAnsi="Arial" w:cs="Arial"/>
                <w:color w:val="000000"/>
                <w:sz w:val="16"/>
                <w:szCs w:val="16"/>
              </w:rPr>
            </w:pPr>
          </w:p>
        </w:tc>
        <w:tc>
          <w:tcPr>
            <w:tcW w:w="185" w:type="dxa"/>
            <w:tcBorders>
              <w:top w:val="nil"/>
              <w:left w:val="nil"/>
              <w:bottom w:val="nil"/>
              <w:right w:val="nil"/>
            </w:tcBorders>
            <w:noWrap/>
            <w:vAlign w:val="center"/>
            <w:hideMark/>
          </w:tcPr>
          <w:p w14:paraId="3CF64B3F" w14:textId="77777777" w:rsidR="00A134C1" w:rsidRDefault="00A134C1">
            <w:pPr>
              <w:rPr>
                <w:sz w:val="20"/>
                <w:szCs w:val="20"/>
              </w:rPr>
            </w:pPr>
          </w:p>
        </w:tc>
        <w:tc>
          <w:tcPr>
            <w:tcW w:w="1000" w:type="dxa"/>
            <w:tcBorders>
              <w:top w:val="nil"/>
              <w:left w:val="nil"/>
              <w:bottom w:val="nil"/>
              <w:right w:val="nil"/>
            </w:tcBorders>
            <w:noWrap/>
            <w:vAlign w:val="center"/>
            <w:hideMark/>
          </w:tcPr>
          <w:p w14:paraId="4FB18DEC" w14:textId="77777777" w:rsidR="00A134C1" w:rsidRDefault="00A134C1">
            <w:pPr>
              <w:rPr>
                <w:sz w:val="20"/>
                <w:szCs w:val="20"/>
              </w:rPr>
            </w:pPr>
          </w:p>
        </w:tc>
        <w:tc>
          <w:tcPr>
            <w:tcW w:w="1000" w:type="dxa"/>
            <w:tcBorders>
              <w:top w:val="nil"/>
              <w:left w:val="nil"/>
              <w:bottom w:val="nil"/>
              <w:right w:val="nil"/>
            </w:tcBorders>
            <w:noWrap/>
            <w:vAlign w:val="center"/>
            <w:hideMark/>
          </w:tcPr>
          <w:p w14:paraId="699E6EFF"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7E152BC9"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0D3DC797"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161EB237" w14:textId="77777777" w:rsidR="00A134C1" w:rsidRDefault="00A134C1">
            <w:pPr>
              <w:jc w:val="right"/>
              <w:rPr>
                <w:sz w:val="20"/>
                <w:szCs w:val="20"/>
              </w:rPr>
            </w:pPr>
          </w:p>
        </w:tc>
      </w:tr>
      <w:tr w:rsidR="00A134C1" w14:paraId="29B74AE0" w14:textId="77777777" w:rsidTr="00A134C1">
        <w:trPr>
          <w:trHeight w:val="225"/>
        </w:trPr>
        <w:tc>
          <w:tcPr>
            <w:tcW w:w="4980" w:type="dxa"/>
            <w:tcBorders>
              <w:top w:val="single" w:sz="4" w:space="0" w:color="7F7F7F"/>
              <w:left w:val="nil"/>
              <w:bottom w:val="single" w:sz="4" w:space="0" w:color="7F7F7F"/>
              <w:right w:val="nil"/>
            </w:tcBorders>
            <w:shd w:val="clear" w:color="000000" w:fill="ECF2F8"/>
            <w:noWrap/>
            <w:vAlign w:val="center"/>
            <w:hideMark/>
          </w:tcPr>
          <w:p w14:paraId="663CA40F" w14:textId="77777777" w:rsidR="00A134C1" w:rsidRDefault="00A134C1">
            <w:pPr>
              <w:rPr>
                <w:rFonts w:ascii="Arial" w:hAnsi="Arial" w:cs="Arial"/>
                <w:b/>
                <w:bCs/>
                <w:color w:val="000000"/>
                <w:sz w:val="16"/>
                <w:szCs w:val="16"/>
              </w:rPr>
            </w:pPr>
            <w:r>
              <w:rPr>
                <w:rFonts w:ascii="Arial" w:hAnsi="Arial" w:cs="Arial"/>
                <w:b/>
                <w:bCs/>
                <w:color w:val="000000"/>
                <w:sz w:val="16"/>
                <w:szCs w:val="16"/>
              </w:rPr>
              <w:t>Résultat net avant IS</w:t>
            </w:r>
          </w:p>
        </w:tc>
        <w:tc>
          <w:tcPr>
            <w:tcW w:w="185" w:type="dxa"/>
            <w:tcBorders>
              <w:top w:val="single" w:sz="4" w:space="0" w:color="7F7F7F"/>
              <w:left w:val="nil"/>
              <w:bottom w:val="single" w:sz="4" w:space="0" w:color="7F7F7F"/>
              <w:right w:val="nil"/>
            </w:tcBorders>
            <w:shd w:val="clear" w:color="000000" w:fill="ECF2F8"/>
            <w:noWrap/>
            <w:vAlign w:val="center"/>
            <w:hideMark/>
          </w:tcPr>
          <w:p w14:paraId="3F6EB35C" w14:textId="77777777" w:rsidR="00A134C1" w:rsidRDefault="00A134C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14E39715"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17 </w:t>
            </w:r>
          </w:p>
        </w:tc>
        <w:tc>
          <w:tcPr>
            <w:tcW w:w="1000" w:type="dxa"/>
            <w:tcBorders>
              <w:top w:val="single" w:sz="4" w:space="0" w:color="7F7F7F"/>
              <w:left w:val="nil"/>
              <w:bottom w:val="single" w:sz="4" w:space="0" w:color="7F7F7F"/>
              <w:right w:val="nil"/>
            </w:tcBorders>
            <w:shd w:val="clear" w:color="000000" w:fill="ECF2F8"/>
            <w:noWrap/>
            <w:vAlign w:val="center"/>
            <w:hideMark/>
          </w:tcPr>
          <w:p w14:paraId="7A27BF1E"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18 </w:t>
            </w:r>
          </w:p>
        </w:tc>
        <w:tc>
          <w:tcPr>
            <w:tcW w:w="1000" w:type="dxa"/>
            <w:tcBorders>
              <w:top w:val="single" w:sz="4" w:space="0" w:color="7F7F7F"/>
              <w:left w:val="nil"/>
              <w:bottom w:val="single" w:sz="4" w:space="0" w:color="7F7F7F"/>
              <w:right w:val="nil"/>
            </w:tcBorders>
            <w:shd w:val="clear" w:color="000000" w:fill="ECF2F8"/>
            <w:noWrap/>
            <w:vAlign w:val="center"/>
            <w:hideMark/>
          </w:tcPr>
          <w:p w14:paraId="61DBCE78"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19 </w:t>
            </w:r>
          </w:p>
        </w:tc>
        <w:tc>
          <w:tcPr>
            <w:tcW w:w="1000" w:type="dxa"/>
            <w:tcBorders>
              <w:top w:val="single" w:sz="4" w:space="0" w:color="7F7F7F"/>
              <w:left w:val="nil"/>
              <w:bottom w:val="single" w:sz="4" w:space="0" w:color="7F7F7F"/>
              <w:right w:val="nil"/>
            </w:tcBorders>
            <w:shd w:val="clear" w:color="000000" w:fill="ECF2F8"/>
            <w:noWrap/>
            <w:vAlign w:val="center"/>
            <w:hideMark/>
          </w:tcPr>
          <w:p w14:paraId="488CB313"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19 </w:t>
            </w:r>
          </w:p>
        </w:tc>
        <w:tc>
          <w:tcPr>
            <w:tcW w:w="1000" w:type="dxa"/>
            <w:tcBorders>
              <w:top w:val="single" w:sz="4" w:space="0" w:color="7F7F7F"/>
              <w:left w:val="nil"/>
              <w:bottom w:val="single" w:sz="4" w:space="0" w:color="7F7F7F"/>
              <w:right w:val="nil"/>
            </w:tcBorders>
            <w:shd w:val="clear" w:color="000000" w:fill="ECF2F8"/>
            <w:noWrap/>
            <w:vAlign w:val="center"/>
            <w:hideMark/>
          </w:tcPr>
          <w:p w14:paraId="58BEC5CE"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20 </w:t>
            </w:r>
          </w:p>
        </w:tc>
      </w:tr>
      <w:tr w:rsidR="00A134C1" w14:paraId="2ED3B1E7" w14:textId="77777777" w:rsidTr="00A134C1">
        <w:trPr>
          <w:trHeight w:val="108"/>
        </w:trPr>
        <w:tc>
          <w:tcPr>
            <w:tcW w:w="4980" w:type="dxa"/>
            <w:tcBorders>
              <w:top w:val="nil"/>
              <w:left w:val="nil"/>
              <w:bottom w:val="nil"/>
              <w:right w:val="nil"/>
            </w:tcBorders>
            <w:noWrap/>
            <w:vAlign w:val="center"/>
            <w:hideMark/>
          </w:tcPr>
          <w:p w14:paraId="77C04172" w14:textId="77777777" w:rsidR="00A134C1" w:rsidRDefault="00A134C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259BBCF5" w14:textId="77777777" w:rsidR="00A134C1" w:rsidRDefault="00A134C1">
            <w:pPr>
              <w:rPr>
                <w:sz w:val="20"/>
                <w:szCs w:val="20"/>
              </w:rPr>
            </w:pPr>
          </w:p>
        </w:tc>
        <w:tc>
          <w:tcPr>
            <w:tcW w:w="1000" w:type="dxa"/>
            <w:tcBorders>
              <w:top w:val="nil"/>
              <w:left w:val="nil"/>
              <w:bottom w:val="nil"/>
              <w:right w:val="nil"/>
            </w:tcBorders>
            <w:noWrap/>
            <w:vAlign w:val="center"/>
            <w:hideMark/>
          </w:tcPr>
          <w:p w14:paraId="62ACD74C" w14:textId="77777777" w:rsidR="00A134C1" w:rsidRDefault="00A134C1">
            <w:pPr>
              <w:rPr>
                <w:sz w:val="20"/>
                <w:szCs w:val="20"/>
              </w:rPr>
            </w:pPr>
          </w:p>
        </w:tc>
        <w:tc>
          <w:tcPr>
            <w:tcW w:w="1000" w:type="dxa"/>
            <w:tcBorders>
              <w:top w:val="nil"/>
              <w:left w:val="nil"/>
              <w:bottom w:val="nil"/>
              <w:right w:val="nil"/>
            </w:tcBorders>
            <w:noWrap/>
            <w:vAlign w:val="center"/>
            <w:hideMark/>
          </w:tcPr>
          <w:p w14:paraId="1BCC65B7"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0B66CE90"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020F1CD1"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18D141BD" w14:textId="77777777" w:rsidR="00A134C1" w:rsidRDefault="00A134C1">
            <w:pPr>
              <w:jc w:val="right"/>
              <w:rPr>
                <w:sz w:val="20"/>
                <w:szCs w:val="20"/>
              </w:rPr>
            </w:pPr>
          </w:p>
        </w:tc>
      </w:tr>
      <w:tr w:rsidR="00A134C1" w14:paraId="2D8A6B35" w14:textId="77777777" w:rsidTr="00A134C1">
        <w:trPr>
          <w:trHeight w:val="225"/>
        </w:trPr>
        <w:tc>
          <w:tcPr>
            <w:tcW w:w="4980" w:type="dxa"/>
            <w:tcBorders>
              <w:top w:val="nil"/>
              <w:left w:val="nil"/>
              <w:bottom w:val="nil"/>
              <w:right w:val="nil"/>
            </w:tcBorders>
            <w:noWrap/>
            <w:vAlign w:val="center"/>
            <w:hideMark/>
          </w:tcPr>
          <w:p w14:paraId="0A5CA4EB" w14:textId="77777777" w:rsidR="00A134C1" w:rsidRDefault="00A134C1">
            <w:pPr>
              <w:rPr>
                <w:rFonts w:ascii="Arial" w:hAnsi="Arial" w:cs="Arial"/>
                <w:sz w:val="16"/>
                <w:szCs w:val="16"/>
              </w:rPr>
            </w:pPr>
            <w:r>
              <w:rPr>
                <w:rFonts w:ascii="Arial" w:hAnsi="Arial" w:cs="Arial"/>
                <w:sz w:val="16"/>
                <w:szCs w:val="16"/>
              </w:rPr>
              <w:t>IS</w:t>
            </w:r>
          </w:p>
        </w:tc>
        <w:tc>
          <w:tcPr>
            <w:tcW w:w="185" w:type="dxa"/>
            <w:tcBorders>
              <w:top w:val="nil"/>
              <w:left w:val="nil"/>
              <w:bottom w:val="nil"/>
              <w:right w:val="nil"/>
            </w:tcBorders>
            <w:noWrap/>
            <w:vAlign w:val="center"/>
            <w:hideMark/>
          </w:tcPr>
          <w:p w14:paraId="1F2F6F1D" w14:textId="77777777" w:rsidR="00A134C1" w:rsidRDefault="00A134C1">
            <w:pPr>
              <w:rPr>
                <w:rFonts w:ascii="Arial" w:hAnsi="Arial" w:cs="Arial"/>
                <w:sz w:val="16"/>
                <w:szCs w:val="16"/>
              </w:rPr>
            </w:pPr>
          </w:p>
        </w:tc>
        <w:tc>
          <w:tcPr>
            <w:tcW w:w="1000" w:type="dxa"/>
            <w:tcBorders>
              <w:top w:val="nil"/>
              <w:left w:val="nil"/>
              <w:bottom w:val="nil"/>
              <w:right w:val="nil"/>
            </w:tcBorders>
            <w:noWrap/>
            <w:vAlign w:val="center"/>
            <w:hideMark/>
          </w:tcPr>
          <w:p w14:paraId="79C677A9" w14:textId="77777777" w:rsidR="00A134C1" w:rsidRDefault="00A134C1">
            <w:pPr>
              <w:jc w:val="right"/>
              <w:rPr>
                <w:rFonts w:ascii="Arial" w:hAnsi="Arial" w:cs="Arial"/>
                <w:color w:val="000000"/>
                <w:sz w:val="16"/>
                <w:szCs w:val="16"/>
              </w:rPr>
            </w:pPr>
            <w:r>
              <w:rPr>
                <w:rFonts w:ascii="Arial" w:hAnsi="Arial" w:cs="Arial"/>
                <w:color w:val="000000"/>
                <w:sz w:val="16"/>
                <w:szCs w:val="16"/>
              </w:rPr>
              <w:t>(5)</w:t>
            </w:r>
          </w:p>
        </w:tc>
        <w:tc>
          <w:tcPr>
            <w:tcW w:w="1000" w:type="dxa"/>
            <w:tcBorders>
              <w:top w:val="nil"/>
              <w:left w:val="nil"/>
              <w:bottom w:val="nil"/>
              <w:right w:val="nil"/>
            </w:tcBorders>
            <w:noWrap/>
            <w:vAlign w:val="center"/>
            <w:hideMark/>
          </w:tcPr>
          <w:p w14:paraId="4DE97D37" w14:textId="77777777" w:rsidR="00A134C1" w:rsidRDefault="00A134C1">
            <w:pPr>
              <w:jc w:val="right"/>
              <w:rPr>
                <w:rFonts w:ascii="Arial" w:hAnsi="Arial" w:cs="Arial"/>
                <w:color w:val="000000"/>
                <w:sz w:val="16"/>
                <w:szCs w:val="16"/>
              </w:rPr>
            </w:pPr>
            <w:r>
              <w:rPr>
                <w:rFonts w:ascii="Arial" w:hAnsi="Arial" w:cs="Arial"/>
                <w:color w:val="000000"/>
                <w:sz w:val="16"/>
                <w:szCs w:val="16"/>
              </w:rPr>
              <w:t>(5)</w:t>
            </w:r>
          </w:p>
        </w:tc>
        <w:tc>
          <w:tcPr>
            <w:tcW w:w="1000" w:type="dxa"/>
            <w:tcBorders>
              <w:top w:val="nil"/>
              <w:left w:val="nil"/>
              <w:bottom w:val="nil"/>
              <w:right w:val="nil"/>
            </w:tcBorders>
            <w:noWrap/>
            <w:vAlign w:val="center"/>
            <w:hideMark/>
          </w:tcPr>
          <w:p w14:paraId="11757356" w14:textId="77777777" w:rsidR="00A134C1" w:rsidRDefault="00A134C1">
            <w:pPr>
              <w:jc w:val="right"/>
              <w:rPr>
                <w:rFonts w:ascii="Arial" w:hAnsi="Arial" w:cs="Arial"/>
                <w:color w:val="000000"/>
                <w:sz w:val="16"/>
                <w:szCs w:val="16"/>
              </w:rPr>
            </w:pPr>
            <w:r>
              <w:rPr>
                <w:rFonts w:ascii="Arial" w:hAnsi="Arial" w:cs="Arial"/>
                <w:color w:val="000000"/>
                <w:sz w:val="16"/>
                <w:szCs w:val="16"/>
              </w:rPr>
              <w:t>(6)</w:t>
            </w:r>
          </w:p>
        </w:tc>
        <w:tc>
          <w:tcPr>
            <w:tcW w:w="1000" w:type="dxa"/>
            <w:tcBorders>
              <w:top w:val="nil"/>
              <w:left w:val="nil"/>
              <w:bottom w:val="nil"/>
              <w:right w:val="nil"/>
            </w:tcBorders>
            <w:noWrap/>
            <w:vAlign w:val="center"/>
            <w:hideMark/>
          </w:tcPr>
          <w:p w14:paraId="61D6613D" w14:textId="77777777" w:rsidR="00A134C1" w:rsidRDefault="00A134C1">
            <w:pPr>
              <w:jc w:val="right"/>
              <w:rPr>
                <w:rFonts w:ascii="Arial" w:hAnsi="Arial" w:cs="Arial"/>
                <w:color w:val="000000"/>
                <w:sz w:val="16"/>
                <w:szCs w:val="16"/>
              </w:rPr>
            </w:pPr>
            <w:r>
              <w:rPr>
                <w:rFonts w:ascii="Arial" w:hAnsi="Arial" w:cs="Arial"/>
                <w:color w:val="000000"/>
                <w:sz w:val="16"/>
                <w:szCs w:val="16"/>
              </w:rPr>
              <w:t>(6)</w:t>
            </w:r>
          </w:p>
        </w:tc>
        <w:tc>
          <w:tcPr>
            <w:tcW w:w="1000" w:type="dxa"/>
            <w:tcBorders>
              <w:top w:val="nil"/>
              <w:left w:val="nil"/>
              <w:bottom w:val="nil"/>
              <w:right w:val="nil"/>
            </w:tcBorders>
            <w:noWrap/>
            <w:vAlign w:val="center"/>
            <w:hideMark/>
          </w:tcPr>
          <w:p w14:paraId="785D476F" w14:textId="77777777" w:rsidR="00A134C1" w:rsidRDefault="00A134C1">
            <w:pPr>
              <w:jc w:val="right"/>
              <w:rPr>
                <w:rFonts w:ascii="Arial" w:hAnsi="Arial" w:cs="Arial"/>
                <w:color w:val="000000"/>
                <w:sz w:val="16"/>
                <w:szCs w:val="16"/>
              </w:rPr>
            </w:pPr>
            <w:r>
              <w:rPr>
                <w:rFonts w:ascii="Arial" w:hAnsi="Arial" w:cs="Arial"/>
                <w:color w:val="000000"/>
                <w:sz w:val="16"/>
                <w:szCs w:val="16"/>
              </w:rPr>
              <w:t>(6)</w:t>
            </w:r>
          </w:p>
        </w:tc>
      </w:tr>
      <w:tr w:rsidR="00A134C1" w14:paraId="5832BA98" w14:textId="77777777" w:rsidTr="00A134C1">
        <w:trPr>
          <w:trHeight w:val="108"/>
        </w:trPr>
        <w:tc>
          <w:tcPr>
            <w:tcW w:w="4980" w:type="dxa"/>
            <w:tcBorders>
              <w:top w:val="nil"/>
              <w:left w:val="nil"/>
              <w:bottom w:val="nil"/>
              <w:right w:val="nil"/>
            </w:tcBorders>
            <w:noWrap/>
            <w:vAlign w:val="center"/>
            <w:hideMark/>
          </w:tcPr>
          <w:p w14:paraId="323F89BA" w14:textId="77777777" w:rsidR="00A134C1" w:rsidRDefault="00A134C1">
            <w:pPr>
              <w:jc w:val="right"/>
              <w:rPr>
                <w:rFonts w:ascii="Arial" w:hAnsi="Arial" w:cs="Arial"/>
                <w:color w:val="000000"/>
                <w:sz w:val="16"/>
                <w:szCs w:val="16"/>
              </w:rPr>
            </w:pPr>
          </w:p>
        </w:tc>
        <w:tc>
          <w:tcPr>
            <w:tcW w:w="185" w:type="dxa"/>
            <w:tcBorders>
              <w:top w:val="nil"/>
              <w:left w:val="nil"/>
              <w:bottom w:val="nil"/>
              <w:right w:val="nil"/>
            </w:tcBorders>
            <w:noWrap/>
            <w:vAlign w:val="center"/>
            <w:hideMark/>
          </w:tcPr>
          <w:p w14:paraId="4A936442" w14:textId="77777777" w:rsidR="00A134C1" w:rsidRDefault="00A134C1">
            <w:pPr>
              <w:rPr>
                <w:sz w:val="20"/>
                <w:szCs w:val="20"/>
              </w:rPr>
            </w:pPr>
          </w:p>
        </w:tc>
        <w:tc>
          <w:tcPr>
            <w:tcW w:w="1000" w:type="dxa"/>
            <w:tcBorders>
              <w:top w:val="nil"/>
              <w:left w:val="nil"/>
              <w:bottom w:val="nil"/>
              <w:right w:val="nil"/>
            </w:tcBorders>
            <w:noWrap/>
            <w:vAlign w:val="center"/>
            <w:hideMark/>
          </w:tcPr>
          <w:p w14:paraId="137A20F4" w14:textId="77777777" w:rsidR="00A134C1" w:rsidRDefault="00A134C1">
            <w:pPr>
              <w:rPr>
                <w:sz w:val="20"/>
                <w:szCs w:val="20"/>
              </w:rPr>
            </w:pPr>
          </w:p>
        </w:tc>
        <w:tc>
          <w:tcPr>
            <w:tcW w:w="1000" w:type="dxa"/>
            <w:tcBorders>
              <w:top w:val="nil"/>
              <w:left w:val="nil"/>
              <w:bottom w:val="nil"/>
              <w:right w:val="nil"/>
            </w:tcBorders>
            <w:noWrap/>
            <w:vAlign w:val="center"/>
            <w:hideMark/>
          </w:tcPr>
          <w:p w14:paraId="4F4EF679"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235264E3"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2AF525A5" w14:textId="77777777" w:rsidR="00A134C1" w:rsidRDefault="00A134C1">
            <w:pPr>
              <w:jc w:val="right"/>
              <w:rPr>
                <w:sz w:val="20"/>
                <w:szCs w:val="20"/>
              </w:rPr>
            </w:pPr>
          </w:p>
        </w:tc>
        <w:tc>
          <w:tcPr>
            <w:tcW w:w="1000" w:type="dxa"/>
            <w:tcBorders>
              <w:top w:val="nil"/>
              <w:left w:val="nil"/>
              <w:bottom w:val="nil"/>
              <w:right w:val="nil"/>
            </w:tcBorders>
            <w:noWrap/>
            <w:vAlign w:val="center"/>
            <w:hideMark/>
          </w:tcPr>
          <w:p w14:paraId="19B1E1DE" w14:textId="77777777" w:rsidR="00A134C1" w:rsidRDefault="00A134C1">
            <w:pPr>
              <w:jc w:val="right"/>
              <w:rPr>
                <w:sz w:val="20"/>
                <w:szCs w:val="20"/>
              </w:rPr>
            </w:pPr>
          </w:p>
        </w:tc>
      </w:tr>
      <w:tr w:rsidR="00A134C1" w14:paraId="795F34CA" w14:textId="77777777" w:rsidTr="00A134C1">
        <w:trPr>
          <w:trHeight w:val="225"/>
        </w:trPr>
        <w:tc>
          <w:tcPr>
            <w:tcW w:w="4980" w:type="dxa"/>
            <w:tcBorders>
              <w:top w:val="single" w:sz="4" w:space="0" w:color="7F7F7F"/>
              <w:left w:val="nil"/>
              <w:bottom w:val="single" w:sz="4" w:space="0" w:color="7F7F7F"/>
              <w:right w:val="nil"/>
            </w:tcBorders>
            <w:shd w:val="clear" w:color="000000" w:fill="DCE6F1"/>
            <w:noWrap/>
            <w:vAlign w:val="center"/>
            <w:hideMark/>
          </w:tcPr>
          <w:p w14:paraId="2D2D34DC" w14:textId="77777777" w:rsidR="00A134C1" w:rsidRDefault="00A134C1">
            <w:pPr>
              <w:rPr>
                <w:rFonts w:ascii="Arial" w:hAnsi="Arial" w:cs="Arial"/>
                <w:b/>
                <w:bCs/>
                <w:color w:val="000000"/>
                <w:sz w:val="16"/>
                <w:szCs w:val="16"/>
              </w:rPr>
            </w:pPr>
            <w:r>
              <w:rPr>
                <w:rFonts w:ascii="Arial" w:hAnsi="Arial" w:cs="Arial"/>
                <w:b/>
                <w:bCs/>
                <w:color w:val="000000"/>
                <w:sz w:val="16"/>
                <w:szCs w:val="16"/>
              </w:rPr>
              <w:t>Résultat net après IS</w:t>
            </w:r>
          </w:p>
        </w:tc>
        <w:tc>
          <w:tcPr>
            <w:tcW w:w="185" w:type="dxa"/>
            <w:tcBorders>
              <w:top w:val="single" w:sz="4" w:space="0" w:color="7F7F7F"/>
              <w:left w:val="nil"/>
              <w:bottom w:val="single" w:sz="4" w:space="0" w:color="7F7F7F"/>
              <w:right w:val="nil"/>
            </w:tcBorders>
            <w:shd w:val="clear" w:color="000000" w:fill="DCE6F1"/>
            <w:noWrap/>
            <w:vAlign w:val="center"/>
            <w:hideMark/>
          </w:tcPr>
          <w:p w14:paraId="3A519505" w14:textId="77777777" w:rsidR="00A134C1" w:rsidRDefault="00A134C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DCE6F1"/>
            <w:noWrap/>
            <w:vAlign w:val="center"/>
            <w:hideMark/>
          </w:tcPr>
          <w:p w14:paraId="66CEA406"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12 </w:t>
            </w:r>
          </w:p>
        </w:tc>
        <w:tc>
          <w:tcPr>
            <w:tcW w:w="1000" w:type="dxa"/>
            <w:tcBorders>
              <w:top w:val="single" w:sz="4" w:space="0" w:color="7F7F7F"/>
              <w:left w:val="nil"/>
              <w:bottom w:val="single" w:sz="4" w:space="0" w:color="7F7F7F"/>
              <w:right w:val="nil"/>
            </w:tcBorders>
            <w:shd w:val="clear" w:color="000000" w:fill="DCE6F1"/>
            <w:noWrap/>
            <w:vAlign w:val="center"/>
            <w:hideMark/>
          </w:tcPr>
          <w:p w14:paraId="207777C3"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13 </w:t>
            </w:r>
          </w:p>
        </w:tc>
        <w:tc>
          <w:tcPr>
            <w:tcW w:w="1000" w:type="dxa"/>
            <w:tcBorders>
              <w:top w:val="single" w:sz="4" w:space="0" w:color="7F7F7F"/>
              <w:left w:val="nil"/>
              <w:bottom w:val="single" w:sz="4" w:space="0" w:color="7F7F7F"/>
              <w:right w:val="nil"/>
            </w:tcBorders>
            <w:shd w:val="clear" w:color="000000" w:fill="DCE6F1"/>
            <w:noWrap/>
            <w:vAlign w:val="center"/>
            <w:hideMark/>
          </w:tcPr>
          <w:p w14:paraId="223A37CD"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13 </w:t>
            </w:r>
          </w:p>
        </w:tc>
        <w:tc>
          <w:tcPr>
            <w:tcW w:w="1000" w:type="dxa"/>
            <w:tcBorders>
              <w:top w:val="single" w:sz="4" w:space="0" w:color="7F7F7F"/>
              <w:left w:val="nil"/>
              <w:bottom w:val="single" w:sz="4" w:space="0" w:color="7F7F7F"/>
              <w:right w:val="nil"/>
            </w:tcBorders>
            <w:shd w:val="clear" w:color="000000" w:fill="DCE6F1"/>
            <w:noWrap/>
            <w:vAlign w:val="center"/>
            <w:hideMark/>
          </w:tcPr>
          <w:p w14:paraId="2E7B83A6"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13 </w:t>
            </w:r>
          </w:p>
        </w:tc>
        <w:tc>
          <w:tcPr>
            <w:tcW w:w="1000" w:type="dxa"/>
            <w:tcBorders>
              <w:top w:val="single" w:sz="4" w:space="0" w:color="7F7F7F"/>
              <w:left w:val="nil"/>
              <w:bottom w:val="single" w:sz="4" w:space="0" w:color="7F7F7F"/>
              <w:right w:val="nil"/>
            </w:tcBorders>
            <w:shd w:val="clear" w:color="000000" w:fill="DCE6F1"/>
            <w:noWrap/>
            <w:vAlign w:val="center"/>
            <w:hideMark/>
          </w:tcPr>
          <w:p w14:paraId="5376386B" w14:textId="77777777" w:rsidR="00A134C1" w:rsidRDefault="00A134C1">
            <w:pPr>
              <w:jc w:val="right"/>
              <w:rPr>
                <w:rFonts w:ascii="Arial" w:hAnsi="Arial" w:cs="Arial"/>
                <w:b/>
                <w:bCs/>
                <w:color w:val="000000"/>
                <w:sz w:val="16"/>
                <w:szCs w:val="16"/>
              </w:rPr>
            </w:pPr>
            <w:r>
              <w:rPr>
                <w:rFonts w:ascii="Arial" w:hAnsi="Arial" w:cs="Arial"/>
                <w:b/>
                <w:bCs/>
                <w:color w:val="000000"/>
                <w:sz w:val="16"/>
                <w:szCs w:val="16"/>
              </w:rPr>
              <w:t xml:space="preserve">14 </w:t>
            </w:r>
          </w:p>
        </w:tc>
      </w:tr>
    </w:tbl>
    <w:p w14:paraId="3C31F22A" w14:textId="6F1C1908" w:rsidR="00745800" w:rsidRPr="004160D0" w:rsidRDefault="00745800" w:rsidP="00745800">
      <w:pPr>
        <w:keepNext/>
        <w:spacing w:line="259" w:lineRule="auto"/>
        <w:jc w:val="center"/>
        <w:rPr>
          <w:rFonts w:ascii="Calibri" w:hAnsi="Calibri" w:cs="Calibri"/>
          <w:bCs/>
          <w:i/>
          <w:iCs/>
          <w:sz w:val="20"/>
          <w:szCs w:val="20"/>
        </w:rPr>
      </w:pPr>
      <w:r w:rsidRPr="00DA3DC3">
        <w:rPr>
          <w:rFonts w:ascii="Calibri" w:hAnsi="Calibri" w:cs="Calibri"/>
          <w:bCs/>
          <w:i/>
          <w:iCs/>
          <w:sz w:val="20"/>
          <w:szCs w:val="20"/>
        </w:rPr>
        <w:t xml:space="preserve">Extrait rapport </w:t>
      </w:r>
      <w:proofErr w:type="spellStart"/>
      <w:r w:rsidRPr="00DA3DC3">
        <w:rPr>
          <w:rFonts w:ascii="Calibri" w:hAnsi="Calibri" w:cs="Calibri"/>
          <w:bCs/>
          <w:i/>
          <w:iCs/>
          <w:sz w:val="20"/>
          <w:szCs w:val="20"/>
        </w:rPr>
        <w:t>Accuracy</w:t>
      </w:r>
      <w:proofErr w:type="spellEnd"/>
      <w:r w:rsidRPr="00DA3DC3">
        <w:rPr>
          <w:rFonts w:ascii="Calibri" w:hAnsi="Calibri" w:cs="Calibri"/>
          <w:bCs/>
          <w:i/>
          <w:iCs/>
          <w:sz w:val="20"/>
          <w:szCs w:val="20"/>
        </w:rPr>
        <w:t xml:space="preserve"> en date du </w:t>
      </w:r>
      <w:r w:rsidR="00FB0548">
        <w:rPr>
          <w:rFonts w:ascii="Calibri" w:hAnsi="Calibri" w:cs="Calibri"/>
          <w:bCs/>
          <w:i/>
          <w:iCs/>
          <w:sz w:val="20"/>
          <w:szCs w:val="20"/>
        </w:rPr>
        <w:t>25 février 2026</w:t>
      </w:r>
    </w:p>
    <w:p w14:paraId="3157B88A" w14:textId="15479C54" w:rsidR="004E0CAE" w:rsidRDefault="004E0CAE" w:rsidP="002611C7">
      <w:pPr>
        <w:keepNext/>
        <w:keepLines/>
      </w:pPr>
    </w:p>
    <w:bookmarkEnd w:id="42"/>
    <w:p w14:paraId="10AF6C2A" w14:textId="77777777" w:rsidR="00F335FA" w:rsidRDefault="00F335FA">
      <w:pPr>
        <w:spacing w:after="160" w:line="259" w:lineRule="auto"/>
        <w:rPr>
          <w:rFonts w:ascii="Calibri" w:hAnsi="Calibri" w:cs="Calibri"/>
          <w:b/>
          <w:sz w:val="22"/>
          <w:szCs w:val="22"/>
        </w:rPr>
      </w:pPr>
      <w:r>
        <w:rPr>
          <w:rFonts w:ascii="Calibri" w:hAnsi="Calibri" w:cs="Calibri"/>
          <w:b/>
          <w:sz w:val="22"/>
          <w:szCs w:val="22"/>
        </w:rPr>
        <w:br w:type="page"/>
      </w:r>
    </w:p>
    <w:p w14:paraId="0C6EC477" w14:textId="0647EF2E" w:rsidR="001113F8" w:rsidRPr="00E311AF" w:rsidRDefault="000E554D" w:rsidP="002342B3">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43" w:name="_Toc222908297"/>
      <w:r>
        <w:rPr>
          <w:rFonts w:ascii="Calibri" w:hAnsi="Calibri" w:cs="Calibri"/>
          <w:b/>
          <w:sz w:val="22"/>
          <w:szCs w:val="22"/>
        </w:rPr>
        <w:lastRenderedPageBreak/>
        <w:t>MODALITES D’APUREMENT DU PASSIF PROPOSEES</w:t>
      </w:r>
      <w:bookmarkEnd w:id="43"/>
    </w:p>
    <w:p w14:paraId="14903242" w14:textId="77777777" w:rsidR="00AA5855" w:rsidRPr="00AA5855" w:rsidRDefault="00AA5855" w:rsidP="00AA5855">
      <w:pPr>
        <w:jc w:val="both"/>
        <w:rPr>
          <w:rFonts w:ascii="Calibri" w:hAnsi="Calibri" w:cs="Calibri"/>
          <w:sz w:val="22"/>
          <w:szCs w:val="22"/>
        </w:rPr>
      </w:pPr>
      <w:bookmarkStart w:id="44" w:name="_Hlk209523820"/>
    </w:p>
    <w:p w14:paraId="7AE4CEC9" w14:textId="5ED72751" w:rsidR="00AA5855" w:rsidRPr="000E3411" w:rsidRDefault="00AA5855" w:rsidP="002611C7">
      <w:pPr>
        <w:pStyle w:val="Paragraphedeliste"/>
        <w:numPr>
          <w:ilvl w:val="1"/>
          <w:numId w:val="9"/>
        </w:numPr>
        <w:overflowPunct w:val="0"/>
        <w:autoSpaceDE w:val="0"/>
        <w:autoSpaceDN w:val="0"/>
        <w:adjustRightInd w:val="0"/>
        <w:jc w:val="both"/>
        <w:textAlignment w:val="baseline"/>
        <w:outlineLvl w:val="1"/>
        <w:rPr>
          <w:rFonts w:ascii="Calibri" w:hAnsi="Calibri" w:cs="Calibri"/>
          <w:b/>
          <w:sz w:val="22"/>
          <w:szCs w:val="22"/>
          <w:u w:val="single"/>
        </w:rPr>
      </w:pPr>
      <w:bookmarkStart w:id="45" w:name="_Toc191908103"/>
      <w:bookmarkStart w:id="46" w:name="_Toc191908190"/>
      <w:bookmarkStart w:id="47" w:name="_Toc191908220"/>
      <w:bookmarkStart w:id="48" w:name="_Toc191908520"/>
      <w:bookmarkStart w:id="49" w:name="_Toc191908692"/>
      <w:bookmarkStart w:id="50" w:name="_Toc204858646"/>
      <w:bookmarkStart w:id="51" w:name="_Toc191908104"/>
      <w:bookmarkStart w:id="52" w:name="_Toc191908191"/>
      <w:bookmarkStart w:id="53" w:name="_Toc191908221"/>
      <w:bookmarkStart w:id="54" w:name="_Toc191908521"/>
      <w:bookmarkStart w:id="55" w:name="_Toc191908693"/>
      <w:bookmarkStart w:id="56" w:name="_Toc204858647"/>
      <w:bookmarkStart w:id="57" w:name="_Toc191908105"/>
      <w:bookmarkStart w:id="58" w:name="_Toc191908192"/>
      <w:bookmarkStart w:id="59" w:name="_Toc191908222"/>
      <w:bookmarkStart w:id="60" w:name="_Toc191908522"/>
      <w:bookmarkStart w:id="61" w:name="_Toc191908694"/>
      <w:bookmarkStart w:id="62" w:name="_Toc204858648"/>
      <w:bookmarkStart w:id="63" w:name="_Toc191908193"/>
      <w:bookmarkStart w:id="64" w:name="_Toc22290829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3411">
        <w:rPr>
          <w:rFonts w:ascii="Calibri" w:hAnsi="Calibri" w:cs="Calibri"/>
          <w:b/>
          <w:sz w:val="22"/>
          <w:szCs w:val="22"/>
          <w:u w:val="single"/>
        </w:rPr>
        <w:t>Créances relevant des dispositions de l’article L. 622-17 du code de commerce</w:t>
      </w:r>
      <w:bookmarkEnd w:id="63"/>
      <w:bookmarkEnd w:id="64"/>
    </w:p>
    <w:p w14:paraId="36DDF9CB" w14:textId="77777777" w:rsidR="00AA5855" w:rsidRPr="00AA5855" w:rsidRDefault="00AA5855" w:rsidP="00AA5855">
      <w:pPr>
        <w:jc w:val="both"/>
        <w:rPr>
          <w:rFonts w:ascii="Calibri" w:hAnsi="Calibri" w:cs="Calibri"/>
          <w:sz w:val="22"/>
          <w:szCs w:val="22"/>
        </w:rPr>
      </w:pPr>
    </w:p>
    <w:p w14:paraId="03CF225D" w14:textId="77777777" w:rsidR="00646269" w:rsidRDefault="00646269" w:rsidP="00646269">
      <w:pPr>
        <w:jc w:val="both"/>
        <w:rPr>
          <w:rFonts w:ascii="Calibri" w:hAnsi="Calibri" w:cs="Calibri"/>
          <w:sz w:val="22"/>
          <w:szCs w:val="22"/>
        </w:rPr>
      </w:pPr>
      <w:r w:rsidRPr="00646269">
        <w:rPr>
          <w:rFonts w:ascii="Calibri" w:hAnsi="Calibri" w:cs="Calibri"/>
          <w:sz w:val="22"/>
          <w:szCs w:val="22"/>
        </w:rPr>
        <w:t>Les créances nées régulièrement après le jugement d’ouverture seront payées normalement à leur échéance. Les frais de justice liés à la procédure collective seront réglés dès l’arrêté du plan de redressement judiciaire ou selon l’échéancier qui aura été accordé par les mandataires de justice.</w:t>
      </w:r>
    </w:p>
    <w:p w14:paraId="692C827B" w14:textId="77777777" w:rsidR="00AA5855" w:rsidRPr="00AA5855" w:rsidRDefault="00AA5855" w:rsidP="00AA5855">
      <w:pPr>
        <w:jc w:val="both"/>
        <w:rPr>
          <w:rFonts w:ascii="Calibri" w:hAnsi="Calibri" w:cs="Calibri"/>
          <w:sz w:val="22"/>
          <w:szCs w:val="22"/>
        </w:rPr>
      </w:pPr>
    </w:p>
    <w:p w14:paraId="6B969BD9" w14:textId="73DCA57D" w:rsidR="00AA5855" w:rsidRPr="0005782D" w:rsidRDefault="00AA5855" w:rsidP="002611C7">
      <w:pPr>
        <w:pStyle w:val="Paragraphedeliste"/>
        <w:numPr>
          <w:ilvl w:val="1"/>
          <w:numId w:val="9"/>
        </w:numPr>
        <w:overflowPunct w:val="0"/>
        <w:autoSpaceDE w:val="0"/>
        <w:autoSpaceDN w:val="0"/>
        <w:adjustRightInd w:val="0"/>
        <w:ind w:left="851"/>
        <w:jc w:val="both"/>
        <w:textAlignment w:val="baseline"/>
        <w:outlineLvl w:val="1"/>
        <w:rPr>
          <w:rFonts w:ascii="Calibri" w:hAnsi="Calibri" w:cs="Calibri"/>
          <w:b/>
          <w:sz w:val="22"/>
          <w:szCs w:val="22"/>
          <w:u w:val="single"/>
        </w:rPr>
      </w:pPr>
      <w:bookmarkStart w:id="65" w:name="_Toc191908194"/>
      <w:bookmarkStart w:id="66" w:name="_Toc222908299"/>
      <w:r w:rsidRPr="0005782D">
        <w:rPr>
          <w:rFonts w:ascii="Calibri" w:hAnsi="Calibri" w:cs="Calibri"/>
          <w:b/>
          <w:sz w:val="22"/>
          <w:szCs w:val="22"/>
          <w:u w:val="single"/>
        </w:rPr>
        <w:t xml:space="preserve">Créances d’un montant maximal de 500 euros </w:t>
      </w:r>
      <w:r w:rsidR="00F02DCA" w:rsidRPr="0005782D">
        <w:rPr>
          <w:rFonts w:ascii="Calibri" w:hAnsi="Calibri" w:cs="Calibri"/>
          <w:b/>
          <w:sz w:val="22"/>
          <w:szCs w:val="22"/>
          <w:u w:val="single"/>
        </w:rPr>
        <w:t>(</w:t>
      </w:r>
      <w:r w:rsidR="00C75874">
        <w:rPr>
          <w:rFonts w:ascii="Calibri" w:hAnsi="Calibri" w:cs="Calibri"/>
          <w:b/>
          <w:sz w:val="22"/>
          <w:szCs w:val="22"/>
          <w:u w:val="single"/>
        </w:rPr>
        <w:t>338,59</w:t>
      </w:r>
      <w:r w:rsidR="00705B39" w:rsidRPr="00705B39">
        <w:rPr>
          <w:rFonts w:ascii="Calibri" w:hAnsi="Calibri" w:cs="Calibri"/>
          <w:b/>
          <w:sz w:val="22"/>
          <w:szCs w:val="22"/>
          <w:u w:val="single"/>
        </w:rPr>
        <w:t>€</w:t>
      </w:r>
      <w:r w:rsidR="00F02DCA" w:rsidRPr="0005782D">
        <w:rPr>
          <w:rFonts w:ascii="Calibri" w:hAnsi="Calibri" w:cs="Calibri"/>
          <w:b/>
          <w:sz w:val="22"/>
          <w:szCs w:val="22"/>
          <w:u w:val="single"/>
        </w:rPr>
        <w:t>)</w:t>
      </w:r>
      <w:bookmarkEnd w:id="65"/>
      <w:bookmarkEnd w:id="66"/>
    </w:p>
    <w:p w14:paraId="0BE5B4A5" w14:textId="77777777" w:rsidR="00AA5855" w:rsidRPr="00244BE0" w:rsidRDefault="00AA5855" w:rsidP="00AA5855">
      <w:pPr>
        <w:jc w:val="both"/>
        <w:rPr>
          <w:rFonts w:ascii="Calibri" w:hAnsi="Calibri" w:cs="Calibri"/>
          <w:sz w:val="22"/>
          <w:szCs w:val="22"/>
        </w:rPr>
      </w:pPr>
    </w:p>
    <w:p w14:paraId="064FC522" w14:textId="051ED158" w:rsidR="00AA5855" w:rsidRPr="00AA5855" w:rsidRDefault="00AA5855" w:rsidP="00AA5855">
      <w:pPr>
        <w:overflowPunct w:val="0"/>
        <w:autoSpaceDE w:val="0"/>
        <w:autoSpaceDN w:val="0"/>
        <w:adjustRightInd w:val="0"/>
        <w:jc w:val="both"/>
        <w:textAlignment w:val="baseline"/>
        <w:rPr>
          <w:rFonts w:ascii="Calibri" w:hAnsi="Calibri" w:cs="Calibri"/>
          <w:sz w:val="22"/>
          <w:szCs w:val="22"/>
        </w:rPr>
      </w:pPr>
      <w:r w:rsidRPr="00244BE0">
        <w:rPr>
          <w:rFonts w:ascii="Calibri" w:hAnsi="Calibri" w:cs="Calibri"/>
          <w:sz w:val="22"/>
          <w:szCs w:val="22"/>
        </w:rPr>
        <w:t xml:space="preserve">Le passif est constitué </w:t>
      </w:r>
      <w:r w:rsidR="00C75874">
        <w:rPr>
          <w:rFonts w:ascii="Calibri" w:hAnsi="Calibri" w:cs="Calibri"/>
          <w:sz w:val="22"/>
          <w:szCs w:val="22"/>
        </w:rPr>
        <w:t>d’une créance</w:t>
      </w:r>
      <w:r w:rsidRPr="00244BE0">
        <w:rPr>
          <w:rFonts w:ascii="Calibri" w:hAnsi="Calibri" w:cs="Calibri"/>
          <w:sz w:val="22"/>
          <w:szCs w:val="22"/>
        </w:rPr>
        <w:t xml:space="preserve"> inférieure à 500</w:t>
      </w:r>
      <w:r w:rsidR="006D7D35">
        <w:rPr>
          <w:rFonts w:ascii="Calibri" w:hAnsi="Calibri" w:cs="Calibri"/>
          <w:sz w:val="22"/>
          <w:szCs w:val="22"/>
        </w:rPr>
        <w:t xml:space="preserve"> </w:t>
      </w:r>
      <w:r w:rsidRPr="00244BE0">
        <w:rPr>
          <w:rFonts w:ascii="Calibri" w:hAnsi="Calibri" w:cs="Calibri"/>
          <w:sz w:val="22"/>
          <w:szCs w:val="22"/>
        </w:rPr>
        <w:t>€</w:t>
      </w:r>
      <w:r w:rsidR="00C75874">
        <w:rPr>
          <w:rFonts w:ascii="Calibri" w:hAnsi="Calibri" w:cs="Calibri"/>
          <w:sz w:val="22"/>
          <w:szCs w:val="22"/>
        </w:rPr>
        <w:t xml:space="preserve"> d’un montant de </w:t>
      </w:r>
      <w:r w:rsidR="00C75874" w:rsidRPr="00C75874">
        <w:rPr>
          <w:rFonts w:ascii="Calibri" w:hAnsi="Calibri" w:cs="Calibri"/>
          <w:sz w:val="22"/>
          <w:szCs w:val="22"/>
        </w:rPr>
        <w:t>338,59€</w:t>
      </w:r>
      <w:r w:rsidR="00C75874">
        <w:rPr>
          <w:rFonts w:ascii="Calibri" w:hAnsi="Calibri" w:cs="Calibri"/>
          <w:sz w:val="22"/>
          <w:szCs w:val="22"/>
        </w:rPr>
        <w:t xml:space="preserve">. </w:t>
      </w:r>
    </w:p>
    <w:p w14:paraId="53A5896F" w14:textId="77777777" w:rsidR="00AA5855" w:rsidRPr="00AA5855" w:rsidRDefault="00AA5855" w:rsidP="00AA5855">
      <w:pPr>
        <w:overflowPunct w:val="0"/>
        <w:autoSpaceDE w:val="0"/>
        <w:autoSpaceDN w:val="0"/>
        <w:adjustRightInd w:val="0"/>
        <w:jc w:val="both"/>
        <w:textAlignment w:val="baseline"/>
        <w:rPr>
          <w:rFonts w:ascii="Calibri" w:hAnsi="Calibri" w:cs="Calibri"/>
          <w:sz w:val="22"/>
          <w:szCs w:val="22"/>
        </w:rPr>
      </w:pPr>
    </w:p>
    <w:p w14:paraId="0B4D7467" w14:textId="77777777" w:rsidR="005B15FC" w:rsidRDefault="005B15FC" w:rsidP="005B15FC">
      <w:pPr>
        <w:overflowPunct w:val="0"/>
        <w:autoSpaceDE w:val="0"/>
        <w:autoSpaceDN w:val="0"/>
        <w:adjustRightInd w:val="0"/>
        <w:jc w:val="both"/>
        <w:textAlignment w:val="baseline"/>
        <w:rPr>
          <w:rFonts w:ascii="Calibri" w:hAnsi="Calibri" w:cs="Calibri"/>
          <w:sz w:val="22"/>
          <w:szCs w:val="22"/>
        </w:rPr>
      </w:pPr>
      <w:r w:rsidRPr="007B6BF1">
        <w:rPr>
          <w:rFonts w:ascii="Calibri" w:hAnsi="Calibri" w:cs="Calibri"/>
          <w:sz w:val="22"/>
          <w:szCs w:val="22"/>
        </w:rPr>
        <w:t xml:space="preserve">La </w:t>
      </w:r>
      <w:r>
        <w:rPr>
          <w:rFonts w:ascii="Calibri" w:hAnsi="Calibri" w:cs="Calibri"/>
          <w:sz w:val="22"/>
          <w:szCs w:val="22"/>
        </w:rPr>
        <w:t>Société</w:t>
      </w:r>
      <w:r w:rsidRPr="007B6BF1">
        <w:rPr>
          <w:rFonts w:ascii="Calibri" w:hAnsi="Calibri" w:cs="Calibri"/>
          <w:bCs/>
          <w:sz w:val="22"/>
          <w:szCs w:val="22"/>
        </w:rPr>
        <w:t xml:space="preserve"> </w:t>
      </w:r>
      <w:r w:rsidRPr="007B6BF1">
        <w:rPr>
          <w:rFonts w:ascii="Calibri" w:hAnsi="Calibri" w:cs="Calibri"/>
          <w:sz w:val="22"/>
          <w:szCs w:val="22"/>
        </w:rPr>
        <w:t xml:space="preserve">s’engage à les régler dès l’arrêté du plan conformément aux dispositions des articles L.626-20 </w:t>
      </w:r>
      <w:r>
        <w:rPr>
          <w:rFonts w:ascii="Calibri" w:hAnsi="Calibri" w:cs="Calibri"/>
          <w:sz w:val="22"/>
          <w:szCs w:val="22"/>
        </w:rPr>
        <w:t xml:space="preserve">II </w:t>
      </w:r>
      <w:r w:rsidRPr="007B6BF1">
        <w:rPr>
          <w:rFonts w:ascii="Calibri" w:hAnsi="Calibri" w:cs="Calibri"/>
          <w:sz w:val="22"/>
          <w:szCs w:val="22"/>
        </w:rPr>
        <w:t>et R.626-34 du code de commerce, sous réserve de leur admission au passif.</w:t>
      </w:r>
    </w:p>
    <w:p w14:paraId="357745FF" w14:textId="77777777" w:rsidR="005B15FC" w:rsidRPr="007C4F2F" w:rsidRDefault="005B15FC" w:rsidP="005B15FC">
      <w:pPr>
        <w:overflowPunct w:val="0"/>
        <w:autoSpaceDE w:val="0"/>
        <w:autoSpaceDN w:val="0"/>
        <w:adjustRightInd w:val="0"/>
        <w:jc w:val="both"/>
        <w:textAlignment w:val="baseline"/>
        <w:rPr>
          <w:rFonts w:ascii="Calibri" w:hAnsi="Calibri" w:cs="Calibri"/>
          <w:sz w:val="22"/>
          <w:szCs w:val="22"/>
        </w:rPr>
      </w:pPr>
    </w:p>
    <w:p w14:paraId="140FC3A5" w14:textId="77777777" w:rsidR="005B15FC" w:rsidRDefault="005B15FC" w:rsidP="005B15FC">
      <w:pPr>
        <w:ind w:left="142" w:right="139"/>
        <w:jc w:val="both"/>
        <w:rPr>
          <w:rFonts w:ascii="Calibri" w:hAnsi="Calibri" w:cs="Calibri"/>
          <w:sz w:val="22"/>
          <w:szCs w:val="22"/>
        </w:rPr>
      </w:pPr>
      <w:r w:rsidRPr="007C4F2F">
        <w:rPr>
          <w:rFonts w:ascii="Calibri" w:hAnsi="Calibri" w:cs="Calibri"/>
          <w:sz w:val="22"/>
          <w:szCs w:val="22"/>
        </w:rPr>
        <w:t>«</w:t>
      </w:r>
      <w:r w:rsidRPr="007C4F2F">
        <w:rPr>
          <w:rFonts w:ascii="Calibri" w:hAnsi="Calibri" w:cs="Calibri"/>
          <w:i/>
          <w:iCs/>
          <w:sz w:val="22"/>
          <w:szCs w:val="22"/>
        </w:rPr>
        <w:t> II.-Dans la limite de 5 % du passif estimé, les créances les plus faibles prises dans l'ordre croissant de leur montant et sans que chacune puisse excéder un montant fixé par décret, sont remboursées sans remise ni délai. Cette disposition ne s'applique pas lorsque le montant des créances détenues par une même personne excède un dixième du pourcentage ci-dessus fixé ou lorsqu'une subrogation a été consentie ou un paiement effectué pour autrui. </w:t>
      </w:r>
      <w:r w:rsidRPr="007C4F2F">
        <w:rPr>
          <w:rFonts w:ascii="Calibri" w:hAnsi="Calibri" w:cs="Calibri"/>
          <w:sz w:val="22"/>
          <w:szCs w:val="22"/>
        </w:rPr>
        <w:t>»</w:t>
      </w:r>
    </w:p>
    <w:p w14:paraId="73428C67" w14:textId="77777777" w:rsidR="00AA5855" w:rsidRDefault="00AA5855" w:rsidP="00AA5855">
      <w:pPr>
        <w:jc w:val="both"/>
        <w:rPr>
          <w:rFonts w:ascii="Calibri" w:hAnsi="Calibri" w:cs="Calibri"/>
          <w:sz w:val="22"/>
          <w:szCs w:val="22"/>
        </w:rPr>
      </w:pPr>
    </w:p>
    <w:p w14:paraId="1D80A7BE" w14:textId="77777777" w:rsidR="00646269" w:rsidRPr="00646269" w:rsidRDefault="00646269" w:rsidP="002611C7">
      <w:pPr>
        <w:pStyle w:val="Paragraphedeliste"/>
        <w:numPr>
          <w:ilvl w:val="1"/>
          <w:numId w:val="9"/>
        </w:numPr>
        <w:overflowPunct w:val="0"/>
        <w:autoSpaceDE w:val="0"/>
        <w:autoSpaceDN w:val="0"/>
        <w:adjustRightInd w:val="0"/>
        <w:ind w:left="851"/>
        <w:jc w:val="both"/>
        <w:textAlignment w:val="baseline"/>
        <w:outlineLvl w:val="1"/>
        <w:rPr>
          <w:rFonts w:ascii="Calibri" w:hAnsi="Calibri" w:cs="Calibri"/>
          <w:b/>
          <w:sz w:val="22"/>
          <w:szCs w:val="22"/>
          <w:u w:val="single"/>
        </w:rPr>
      </w:pPr>
      <w:bookmarkStart w:id="67" w:name="_Toc172630118"/>
      <w:bookmarkStart w:id="68" w:name="_Toc182326823"/>
      <w:bookmarkStart w:id="69" w:name="_Toc188633672"/>
      <w:bookmarkStart w:id="70" w:name="_Toc191908195"/>
      <w:bookmarkStart w:id="71" w:name="_Toc222908300"/>
      <w:bookmarkStart w:id="72" w:name="_Hlk178852688"/>
      <w:r w:rsidRPr="00646269">
        <w:rPr>
          <w:rFonts w:ascii="Calibri" w:hAnsi="Calibri" w:cs="Calibri"/>
          <w:b/>
          <w:sz w:val="22"/>
          <w:szCs w:val="22"/>
          <w:u w:val="single"/>
        </w:rPr>
        <w:t>Créances litigieuses</w:t>
      </w:r>
      <w:bookmarkEnd w:id="67"/>
      <w:bookmarkEnd w:id="68"/>
      <w:bookmarkEnd w:id="69"/>
      <w:bookmarkEnd w:id="70"/>
      <w:bookmarkEnd w:id="71"/>
    </w:p>
    <w:bookmarkEnd w:id="72"/>
    <w:p w14:paraId="6BAFEBCD" w14:textId="77777777" w:rsidR="00646269" w:rsidRPr="005F1242" w:rsidRDefault="00646269" w:rsidP="00646269">
      <w:pPr>
        <w:overflowPunct w:val="0"/>
        <w:autoSpaceDE w:val="0"/>
        <w:autoSpaceDN w:val="0"/>
        <w:adjustRightInd w:val="0"/>
        <w:jc w:val="both"/>
        <w:textAlignment w:val="baseline"/>
        <w:rPr>
          <w:rFonts w:cs="Calibri"/>
          <w:szCs w:val="22"/>
        </w:rPr>
      </w:pPr>
    </w:p>
    <w:p w14:paraId="0D68BD88" w14:textId="0BBA0F03" w:rsidR="008957F5" w:rsidRDefault="00646269" w:rsidP="00646269">
      <w:pPr>
        <w:overflowPunct w:val="0"/>
        <w:autoSpaceDE w:val="0"/>
        <w:autoSpaceDN w:val="0"/>
        <w:adjustRightInd w:val="0"/>
        <w:jc w:val="both"/>
        <w:textAlignment w:val="baseline"/>
        <w:rPr>
          <w:rFonts w:ascii="Calibri" w:hAnsi="Calibri" w:cs="Calibri"/>
          <w:sz w:val="22"/>
          <w:szCs w:val="22"/>
        </w:rPr>
      </w:pPr>
      <w:bookmarkStart w:id="73" w:name="_Hlk178852669"/>
      <w:r w:rsidRPr="00646269">
        <w:rPr>
          <w:rFonts w:ascii="Calibri" w:hAnsi="Calibri" w:cs="Calibri"/>
          <w:sz w:val="22"/>
          <w:szCs w:val="22"/>
        </w:rPr>
        <w:t xml:space="preserve">Conformément aux dispositions de l’article L.626-21 alinéa 3 du code de commerce, les sommes qui seraient éventuellement à répartir au titre des créances litigieuses ne seront versées qu’après l’admission définitive des créances au passif de la </w:t>
      </w:r>
      <w:r>
        <w:rPr>
          <w:rFonts w:ascii="Calibri" w:hAnsi="Calibri" w:cs="Calibri"/>
          <w:sz w:val="22"/>
          <w:szCs w:val="22"/>
        </w:rPr>
        <w:t>S</w:t>
      </w:r>
      <w:r w:rsidRPr="00646269">
        <w:rPr>
          <w:rFonts w:ascii="Calibri" w:hAnsi="Calibri" w:cs="Calibri"/>
          <w:sz w:val="22"/>
          <w:szCs w:val="22"/>
        </w:rPr>
        <w:t>ociété.</w:t>
      </w:r>
      <w:bookmarkEnd w:id="73"/>
    </w:p>
    <w:p w14:paraId="3FEFD63E" w14:textId="77777777" w:rsidR="008957F5" w:rsidRDefault="008957F5" w:rsidP="00646269">
      <w:pPr>
        <w:overflowPunct w:val="0"/>
        <w:autoSpaceDE w:val="0"/>
        <w:autoSpaceDN w:val="0"/>
        <w:adjustRightInd w:val="0"/>
        <w:jc w:val="both"/>
        <w:textAlignment w:val="baseline"/>
        <w:rPr>
          <w:rFonts w:ascii="Calibri" w:hAnsi="Calibri" w:cs="Calibri"/>
          <w:sz w:val="22"/>
          <w:szCs w:val="22"/>
        </w:rPr>
      </w:pPr>
    </w:p>
    <w:p w14:paraId="79E38C12" w14:textId="21127331" w:rsidR="008957F5" w:rsidRPr="008957F5" w:rsidRDefault="008957F5" w:rsidP="008957F5">
      <w:pPr>
        <w:pStyle w:val="Paragraphedeliste"/>
        <w:numPr>
          <w:ilvl w:val="1"/>
          <w:numId w:val="9"/>
        </w:numPr>
        <w:overflowPunct w:val="0"/>
        <w:autoSpaceDE w:val="0"/>
        <w:autoSpaceDN w:val="0"/>
        <w:adjustRightInd w:val="0"/>
        <w:ind w:left="851"/>
        <w:jc w:val="both"/>
        <w:textAlignment w:val="baseline"/>
        <w:outlineLvl w:val="1"/>
        <w:rPr>
          <w:rFonts w:ascii="Calibri" w:hAnsi="Calibri" w:cs="Calibri"/>
          <w:b/>
          <w:sz w:val="22"/>
          <w:szCs w:val="22"/>
          <w:u w:val="single"/>
        </w:rPr>
      </w:pPr>
      <w:bookmarkStart w:id="74" w:name="_Toc222042562"/>
      <w:bookmarkStart w:id="75" w:name="_Toc222817740"/>
      <w:bookmarkStart w:id="76" w:name="_Toc222908301"/>
      <w:r w:rsidRPr="008957F5">
        <w:rPr>
          <w:rFonts w:ascii="Calibri" w:hAnsi="Calibri" w:cs="Calibri"/>
          <w:b/>
          <w:sz w:val="22"/>
          <w:szCs w:val="22"/>
          <w:u w:val="single"/>
        </w:rPr>
        <w:t>Créances intragroupes (</w:t>
      </w:r>
      <w:r w:rsidR="00D47E6A">
        <w:rPr>
          <w:rFonts w:ascii="Calibri" w:hAnsi="Calibri" w:cs="Calibri"/>
          <w:b/>
          <w:sz w:val="22"/>
          <w:szCs w:val="22"/>
          <w:u w:val="single"/>
        </w:rPr>
        <w:t>2 450</w:t>
      </w:r>
      <w:r w:rsidRPr="008957F5">
        <w:rPr>
          <w:rFonts w:ascii="Calibri" w:hAnsi="Calibri" w:cs="Calibri"/>
          <w:b/>
          <w:sz w:val="22"/>
          <w:szCs w:val="22"/>
          <w:u w:val="single"/>
        </w:rPr>
        <w:t xml:space="preserve"> €)</w:t>
      </w:r>
      <w:bookmarkEnd w:id="74"/>
      <w:bookmarkEnd w:id="75"/>
      <w:bookmarkEnd w:id="76"/>
    </w:p>
    <w:p w14:paraId="298193C3" w14:textId="77777777" w:rsidR="008957F5" w:rsidRDefault="008957F5" w:rsidP="008957F5">
      <w:pPr>
        <w:rPr>
          <w:rFonts w:cs="Calibri"/>
          <w:szCs w:val="22"/>
        </w:rPr>
      </w:pPr>
    </w:p>
    <w:p w14:paraId="33292BC3" w14:textId="2998FABA" w:rsidR="008957F5" w:rsidRDefault="008957F5" w:rsidP="00646269">
      <w:pPr>
        <w:overflowPunct w:val="0"/>
        <w:autoSpaceDE w:val="0"/>
        <w:autoSpaceDN w:val="0"/>
        <w:adjustRightInd w:val="0"/>
        <w:jc w:val="both"/>
        <w:textAlignment w:val="baseline"/>
        <w:rPr>
          <w:rFonts w:ascii="Calibri" w:hAnsi="Calibri" w:cs="Calibri"/>
          <w:sz w:val="22"/>
          <w:szCs w:val="22"/>
        </w:rPr>
      </w:pPr>
      <w:r w:rsidRPr="008957F5">
        <w:rPr>
          <w:rFonts w:ascii="Calibri" w:hAnsi="Calibri" w:cs="Calibri"/>
          <w:sz w:val="22"/>
          <w:szCs w:val="22"/>
        </w:rPr>
        <w:t>Le remboursement des créances intragroupes (</w:t>
      </w:r>
      <w:r w:rsidR="00D47E6A">
        <w:rPr>
          <w:rFonts w:ascii="Calibri" w:hAnsi="Calibri" w:cs="Calibri"/>
          <w:sz w:val="22"/>
          <w:szCs w:val="22"/>
        </w:rPr>
        <w:t>2 450</w:t>
      </w:r>
      <w:r w:rsidRPr="008957F5">
        <w:rPr>
          <w:rFonts w:ascii="Calibri" w:hAnsi="Calibri" w:cs="Calibri"/>
          <w:sz w:val="22"/>
          <w:szCs w:val="22"/>
        </w:rPr>
        <w:t xml:space="preserve"> €) sera subordonné au règlement de l’intégralité du passif tiers objet du présent projet de plan de redressement.</w:t>
      </w:r>
    </w:p>
    <w:p w14:paraId="12E540A1" w14:textId="039ECA56" w:rsidR="00044FBE" w:rsidRDefault="00044FBE" w:rsidP="00044FBE">
      <w:pPr>
        <w:spacing w:line="259" w:lineRule="auto"/>
        <w:rPr>
          <w:rFonts w:ascii="Calibri" w:hAnsi="Calibri" w:cs="Calibri"/>
          <w:b/>
          <w:sz w:val="22"/>
          <w:szCs w:val="22"/>
          <w:u w:val="single"/>
        </w:rPr>
      </w:pPr>
      <w:bookmarkStart w:id="77" w:name="_Toc191908199"/>
    </w:p>
    <w:p w14:paraId="3A8CFD10" w14:textId="761EB3D1" w:rsidR="00AA5855" w:rsidRPr="00AA5855" w:rsidRDefault="00AA5855" w:rsidP="002611C7">
      <w:pPr>
        <w:pStyle w:val="Paragraphedeliste"/>
        <w:numPr>
          <w:ilvl w:val="1"/>
          <w:numId w:val="9"/>
        </w:numPr>
        <w:overflowPunct w:val="0"/>
        <w:autoSpaceDE w:val="0"/>
        <w:autoSpaceDN w:val="0"/>
        <w:adjustRightInd w:val="0"/>
        <w:ind w:left="851"/>
        <w:jc w:val="both"/>
        <w:textAlignment w:val="baseline"/>
        <w:outlineLvl w:val="1"/>
        <w:rPr>
          <w:rFonts w:ascii="Calibri" w:hAnsi="Calibri" w:cs="Calibri"/>
          <w:b/>
          <w:sz w:val="22"/>
          <w:szCs w:val="22"/>
          <w:u w:val="single"/>
        </w:rPr>
      </w:pPr>
      <w:bookmarkStart w:id="78" w:name="_Toc222908302"/>
      <w:r w:rsidRPr="00AA5855">
        <w:rPr>
          <w:rFonts w:ascii="Calibri" w:hAnsi="Calibri" w:cs="Calibri"/>
          <w:b/>
          <w:sz w:val="22"/>
          <w:szCs w:val="22"/>
          <w:u w:val="single"/>
        </w:rPr>
        <w:t>Créances fiscales</w:t>
      </w:r>
      <w:bookmarkEnd w:id="77"/>
      <w:bookmarkEnd w:id="78"/>
      <w:r w:rsidRPr="00AA5855">
        <w:rPr>
          <w:rFonts w:ascii="Calibri" w:hAnsi="Calibri" w:cs="Calibri"/>
          <w:b/>
          <w:sz w:val="22"/>
          <w:szCs w:val="22"/>
          <w:u w:val="single"/>
        </w:rPr>
        <w:t xml:space="preserve"> </w:t>
      </w:r>
    </w:p>
    <w:p w14:paraId="4DD51DC9" w14:textId="77777777" w:rsidR="00AA5855" w:rsidRPr="00AA5855" w:rsidRDefault="00AA5855" w:rsidP="00AA5855">
      <w:pPr>
        <w:jc w:val="both"/>
        <w:rPr>
          <w:rFonts w:ascii="Calibri" w:hAnsi="Calibri" w:cs="Calibri"/>
          <w:sz w:val="22"/>
          <w:szCs w:val="22"/>
        </w:rPr>
      </w:pPr>
    </w:p>
    <w:p w14:paraId="03E49319" w14:textId="77777777" w:rsidR="00AA5855" w:rsidRPr="00AA5855" w:rsidRDefault="00AA5855" w:rsidP="00AA5855">
      <w:pPr>
        <w:jc w:val="both"/>
        <w:rPr>
          <w:rFonts w:ascii="Calibri" w:hAnsi="Calibri" w:cs="Calibri"/>
          <w:sz w:val="22"/>
          <w:szCs w:val="22"/>
        </w:rPr>
      </w:pPr>
      <w:r w:rsidRPr="00AA5855">
        <w:rPr>
          <w:rFonts w:ascii="Calibri" w:hAnsi="Calibri" w:cs="Calibri"/>
          <w:sz w:val="22"/>
          <w:szCs w:val="22"/>
        </w:rPr>
        <w:t>Conformément à l’article 1756 du code général des Impôts, les frais de poursuite et les pénalités fiscales encourues en matière d’impôts directs et taxes assimilées, de taxes sur le chiffre d’affaires et taxes assimilées, de droits d’enregistrement, taxe de publicité foncière, droits de timbre et autres droits et taxes assimilés, dus à la date du jugement d’ouverture, sont remis, sous réserve d’exceptions prévues à cet article.</w:t>
      </w:r>
    </w:p>
    <w:p w14:paraId="72EBC8D9" w14:textId="77777777" w:rsidR="00AA5855" w:rsidRPr="00AA5855" w:rsidRDefault="00AA5855" w:rsidP="00AA5855">
      <w:pPr>
        <w:jc w:val="both"/>
        <w:rPr>
          <w:rFonts w:ascii="Calibri" w:hAnsi="Calibri" w:cs="Calibri"/>
          <w:sz w:val="22"/>
          <w:szCs w:val="22"/>
        </w:rPr>
      </w:pPr>
    </w:p>
    <w:p w14:paraId="34C10045" w14:textId="1955F887" w:rsidR="000840E4" w:rsidRDefault="00AA5855" w:rsidP="00AA5855">
      <w:pPr>
        <w:jc w:val="both"/>
        <w:rPr>
          <w:rFonts w:ascii="Calibri" w:hAnsi="Calibri" w:cs="Calibri"/>
          <w:sz w:val="22"/>
          <w:szCs w:val="22"/>
        </w:rPr>
      </w:pPr>
      <w:r w:rsidRPr="00AA5855">
        <w:rPr>
          <w:rFonts w:ascii="Calibri" w:hAnsi="Calibri" w:cs="Calibri"/>
          <w:sz w:val="22"/>
          <w:szCs w:val="22"/>
        </w:rPr>
        <w:t>L’article L. 626-6 du code de commerce dispose :</w:t>
      </w:r>
    </w:p>
    <w:p w14:paraId="40B7AED2" w14:textId="77777777" w:rsidR="000840E4" w:rsidRPr="00AA5855" w:rsidRDefault="000840E4" w:rsidP="00AA5855">
      <w:pPr>
        <w:jc w:val="both"/>
        <w:rPr>
          <w:rFonts w:ascii="Calibri" w:hAnsi="Calibri" w:cs="Calibri"/>
          <w:sz w:val="22"/>
          <w:szCs w:val="22"/>
        </w:rPr>
      </w:pPr>
    </w:p>
    <w:p w14:paraId="60F4440C" w14:textId="4C6009A6"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 xml:space="preserve">« Les administrations financières, les organismes de sécurité sociale, les institutions gérant le régime d'assurance chômage prévu par les articles </w:t>
      </w:r>
      <w:hyperlink r:id="rId11" w:history="1">
        <w:r w:rsidRPr="00AA5855">
          <w:rPr>
            <w:rFonts w:ascii="Calibri" w:hAnsi="Calibri" w:cs="Calibri"/>
            <w:i/>
            <w:sz w:val="22"/>
            <w:szCs w:val="22"/>
          </w:rPr>
          <w:t>L. 351-3</w:t>
        </w:r>
      </w:hyperlink>
      <w:r w:rsidRPr="00AA5855">
        <w:rPr>
          <w:rFonts w:ascii="Calibri" w:hAnsi="Calibri" w:cs="Calibri"/>
          <w:i/>
          <w:sz w:val="22"/>
          <w:szCs w:val="22"/>
        </w:rPr>
        <w:t xml:space="preserve"> et suivants du code du travail et les institutions régies par le livre IX du code de la sécurité sociale peuvent accepter de remettre tout ou partie de ses dettes au débiteur dans des conditions similaires à celles que lui octroierait, dans des conditions normales de marché, un opérateur économique privé placé dans la même situation. </w:t>
      </w:r>
    </w:p>
    <w:p w14:paraId="507ACC01" w14:textId="1B5EF960"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 xml:space="preserve">Dans ce cadre, les administrations financières peuvent remettre l'ensemble des impôts directs perçus au profit de l'Etat et des collectivités territoriales ainsi que des produits divers du budget de l'Etat dus par le débiteur. S'agissant des impôts indirects perçus au profit de l'Etat et des </w:t>
      </w:r>
      <w:r w:rsidRPr="00AA5855">
        <w:rPr>
          <w:rFonts w:ascii="Calibri" w:hAnsi="Calibri" w:cs="Calibri"/>
          <w:i/>
          <w:sz w:val="22"/>
          <w:szCs w:val="22"/>
        </w:rPr>
        <w:lastRenderedPageBreak/>
        <w:t xml:space="preserve">collectivités territoriales, seuls les intérêts de retard, majorations, pénalités ou amendes peuvent faire l'objet d'une remise. </w:t>
      </w:r>
    </w:p>
    <w:p w14:paraId="6D1B22CC" w14:textId="2591AA13"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 xml:space="preserve">Les conditions de la remise de la dette sont fixées par décret. </w:t>
      </w:r>
    </w:p>
    <w:p w14:paraId="4512DDC7" w14:textId="77777777"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Les créanciers visés au premier alinéa peuvent également décider des cessions de rang de privilège ou d'hypothèque ou de l'abandon de ces sûretés. »</w:t>
      </w:r>
    </w:p>
    <w:p w14:paraId="7FD2E3E5" w14:textId="77777777" w:rsidR="00AA5855" w:rsidRPr="00AA5855" w:rsidRDefault="00AA5855" w:rsidP="00AA5855">
      <w:pPr>
        <w:rPr>
          <w:rFonts w:ascii="Calibri" w:hAnsi="Calibri" w:cs="Calibri"/>
          <w:i/>
          <w:sz w:val="22"/>
          <w:szCs w:val="22"/>
        </w:rPr>
      </w:pPr>
    </w:p>
    <w:p w14:paraId="6C8BFBB7" w14:textId="5E09AD17" w:rsidR="00AA5855" w:rsidRPr="00AA5855" w:rsidRDefault="00AA5855" w:rsidP="00276AA3">
      <w:pPr>
        <w:rPr>
          <w:rFonts w:ascii="Calibri" w:hAnsi="Calibri" w:cs="Calibri"/>
          <w:sz w:val="22"/>
          <w:szCs w:val="22"/>
        </w:rPr>
      </w:pPr>
      <w:r w:rsidRPr="00AA5855">
        <w:rPr>
          <w:rFonts w:ascii="Calibri" w:hAnsi="Calibri" w:cs="Calibri"/>
          <w:sz w:val="22"/>
          <w:szCs w:val="22"/>
        </w:rPr>
        <w:t>L’article D. 626-10 du code de commerce dispose :</w:t>
      </w:r>
    </w:p>
    <w:p w14:paraId="514486A1" w14:textId="77777777" w:rsidR="00AA5855" w:rsidRPr="00AA5855" w:rsidRDefault="00AA5855" w:rsidP="00276AA3">
      <w:pPr>
        <w:spacing w:before="120"/>
        <w:ind w:left="284" w:right="142"/>
        <w:rPr>
          <w:rFonts w:ascii="Calibri" w:hAnsi="Calibri" w:cs="Calibri"/>
          <w:i/>
          <w:sz w:val="22"/>
          <w:szCs w:val="22"/>
        </w:rPr>
      </w:pPr>
      <w:r w:rsidRPr="00AA5855">
        <w:rPr>
          <w:rFonts w:ascii="Calibri" w:hAnsi="Calibri" w:cs="Calibri"/>
          <w:i/>
          <w:sz w:val="22"/>
          <w:szCs w:val="22"/>
        </w:rPr>
        <w:t>« Les dettes susceptibles d'être remises correspondent :</w:t>
      </w:r>
    </w:p>
    <w:p w14:paraId="4CED9EBC" w14:textId="77777777"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1° Aux pénalités, intérêts de retard, intérêts moratoires, amendes fiscales ou douanières, majorations, frais de poursuite, quel que soit l'impôt ou le produit divers du budget de l'Etat auquel ces pénalités ou frais s'appliquent ;</w:t>
      </w:r>
    </w:p>
    <w:p w14:paraId="52EF80BE" w14:textId="2D6B3EC4"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2° Aux majorations de retard, frais de poursuite, pénalités et amendes attachées aux cotisations et contributions sociales recouvrées par les organismes de sécurité sociale et par les institutions régies par le livre IX du code de la sécurité sociale et par les institutions régies par le livre VII du code rural</w:t>
      </w:r>
      <w:r w:rsidR="00950BB6">
        <w:rPr>
          <w:rFonts w:ascii="Calibri" w:hAnsi="Calibri" w:cs="Calibri"/>
          <w:i/>
          <w:sz w:val="22"/>
          <w:szCs w:val="22"/>
        </w:rPr>
        <w:t> </w:t>
      </w:r>
      <w:r w:rsidRPr="00AA5855">
        <w:rPr>
          <w:rFonts w:ascii="Calibri" w:hAnsi="Calibri" w:cs="Calibri"/>
          <w:i/>
          <w:sz w:val="22"/>
          <w:szCs w:val="22"/>
        </w:rPr>
        <w:t>;</w:t>
      </w:r>
    </w:p>
    <w:p w14:paraId="492AC8D2" w14:textId="77777777"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3° Aux majorations de retard, frais de poursuite et pénalités attachées aux contributions et cotisations recouvrées par les institutions gérant le régime d'assurance chômage prévu aux articles L. 351-3 et suivants du code du travail ;</w:t>
      </w:r>
    </w:p>
    <w:p w14:paraId="09670B4A" w14:textId="77777777"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4° Aux cotisations et contributions sociales patronales d'origine légale ou conventionnelle qu'un employeur est tenu de verser au titre de l'emploi de personnel salarié ;</w:t>
      </w:r>
    </w:p>
    <w:p w14:paraId="5128D80B" w14:textId="77777777" w:rsidR="00AA5855" w:rsidRPr="00AA5855"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5° Aux droits au principal afférents aux seuls impôts directs perçus au profit de l'Etat et des collectivités territoriales ;</w:t>
      </w:r>
    </w:p>
    <w:p w14:paraId="2110A4AE" w14:textId="5A32D375" w:rsidR="00AA5855" w:rsidRPr="005B15FC" w:rsidRDefault="00AA5855" w:rsidP="00276AA3">
      <w:pPr>
        <w:spacing w:before="120"/>
        <w:ind w:left="284" w:right="142"/>
        <w:jc w:val="both"/>
        <w:rPr>
          <w:rFonts w:ascii="Calibri" w:hAnsi="Calibri" w:cs="Calibri"/>
          <w:i/>
          <w:sz w:val="22"/>
          <w:szCs w:val="22"/>
        </w:rPr>
      </w:pPr>
      <w:r w:rsidRPr="00AA5855">
        <w:rPr>
          <w:rFonts w:ascii="Calibri" w:hAnsi="Calibri" w:cs="Calibri"/>
          <w:i/>
          <w:sz w:val="22"/>
          <w:szCs w:val="22"/>
        </w:rPr>
        <w:t>6° Aux créances de l'Etat étrangères à l'impôt et au domaine, aux redevances domaniales, aux redevances pour services rendus et aux autres produits divers du budget de l'Etat. »</w:t>
      </w:r>
    </w:p>
    <w:p w14:paraId="69F2B151" w14:textId="77777777" w:rsidR="00276AA3" w:rsidRDefault="00276AA3" w:rsidP="00AA5855">
      <w:pPr>
        <w:jc w:val="both"/>
        <w:rPr>
          <w:rFonts w:ascii="Calibri" w:hAnsi="Calibri" w:cs="Calibri"/>
          <w:b/>
          <w:sz w:val="22"/>
          <w:szCs w:val="22"/>
        </w:rPr>
      </w:pPr>
    </w:p>
    <w:p w14:paraId="168A7224" w14:textId="085A9C08" w:rsidR="00AA5855" w:rsidRPr="00AA5855" w:rsidRDefault="00AA5855" w:rsidP="00AA5855">
      <w:pPr>
        <w:jc w:val="both"/>
        <w:rPr>
          <w:rFonts w:ascii="Calibri" w:hAnsi="Calibri" w:cs="Calibri"/>
          <w:b/>
          <w:sz w:val="22"/>
          <w:szCs w:val="22"/>
        </w:rPr>
      </w:pPr>
      <w:r w:rsidRPr="00AA5855">
        <w:rPr>
          <w:rFonts w:ascii="Calibri" w:hAnsi="Calibri" w:cs="Calibri"/>
          <w:b/>
          <w:sz w:val="22"/>
          <w:szCs w:val="22"/>
        </w:rPr>
        <w:t xml:space="preserve">Il est proposé l’apurement des créances admises selon les modalités d’apurement du passif telles qu’exposées à l’article </w:t>
      </w:r>
      <w:r w:rsidR="00193CF7">
        <w:rPr>
          <w:rFonts w:ascii="Calibri" w:hAnsi="Calibri" w:cs="Calibri"/>
          <w:b/>
          <w:sz w:val="22"/>
          <w:szCs w:val="22"/>
        </w:rPr>
        <w:t>10</w:t>
      </w:r>
      <w:r w:rsidR="006535BA">
        <w:rPr>
          <w:rFonts w:ascii="Calibri" w:hAnsi="Calibri" w:cs="Calibri"/>
          <w:b/>
          <w:sz w:val="22"/>
          <w:szCs w:val="22"/>
        </w:rPr>
        <w:t>.</w:t>
      </w:r>
      <w:r w:rsidR="001F56B0">
        <w:rPr>
          <w:rFonts w:ascii="Calibri" w:hAnsi="Calibri" w:cs="Calibri"/>
          <w:b/>
          <w:sz w:val="22"/>
          <w:szCs w:val="22"/>
        </w:rPr>
        <w:t>6</w:t>
      </w:r>
      <w:r w:rsidRPr="00AA5855">
        <w:rPr>
          <w:rFonts w:ascii="Calibri" w:hAnsi="Calibri" w:cs="Calibri"/>
          <w:b/>
          <w:sz w:val="22"/>
          <w:szCs w:val="22"/>
        </w:rPr>
        <w:t xml:space="preserve"> (</w:t>
      </w:r>
      <w:r w:rsidRPr="00AA5855">
        <w:rPr>
          <w:rFonts w:ascii="Calibri" w:hAnsi="Calibri" w:cs="Calibri"/>
          <w:b/>
          <w:i/>
          <w:iCs/>
          <w:sz w:val="22"/>
          <w:szCs w:val="22"/>
        </w:rPr>
        <w:t>Autres créances privilégiées et chirographaires</w:t>
      </w:r>
      <w:r w:rsidRPr="00AA5855">
        <w:rPr>
          <w:rFonts w:ascii="Calibri" w:hAnsi="Calibri" w:cs="Calibri"/>
          <w:b/>
          <w:sz w:val="22"/>
          <w:szCs w:val="22"/>
        </w:rPr>
        <w:t xml:space="preserve">). </w:t>
      </w:r>
    </w:p>
    <w:p w14:paraId="4762A289" w14:textId="566D25DC" w:rsidR="00044FBE" w:rsidRDefault="00044FBE" w:rsidP="00044FBE">
      <w:pPr>
        <w:spacing w:line="259" w:lineRule="auto"/>
        <w:rPr>
          <w:rFonts w:ascii="Calibri" w:hAnsi="Calibri" w:cs="Calibri"/>
          <w:b/>
          <w:sz w:val="22"/>
          <w:szCs w:val="22"/>
          <w:u w:val="single"/>
        </w:rPr>
      </w:pPr>
      <w:bookmarkStart w:id="79" w:name="_Toc191908200"/>
    </w:p>
    <w:p w14:paraId="4A1E6D9F" w14:textId="675573D0" w:rsidR="00AA5855" w:rsidRPr="0040196C" w:rsidRDefault="00AA5855" w:rsidP="002611C7">
      <w:pPr>
        <w:pStyle w:val="Paragraphedeliste"/>
        <w:numPr>
          <w:ilvl w:val="1"/>
          <w:numId w:val="9"/>
        </w:numPr>
        <w:overflowPunct w:val="0"/>
        <w:autoSpaceDE w:val="0"/>
        <w:autoSpaceDN w:val="0"/>
        <w:adjustRightInd w:val="0"/>
        <w:ind w:left="851"/>
        <w:jc w:val="both"/>
        <w:textAlignment w:val="baseline"/>
        <w:outlineLvl w:val="1"/>
        <w:rPr>
          <w:rFonts w:ascii="Calibri" w:hAnsi="Calibri" w:cs="Calibri"/>
          <w:b/>
          <w:sz w:val="22"/>
          <w:szCs w:val="22"/>
          <w:u w:val="single"/>
        </w:rPr>
      </w:pPr>
      <w:bookmarkStart w:id="80" w:name="_Toc222908303"/>
      <w:r w:rsidRPr="005B15FC">
        <w:rPr>
          <w:rFonts w:ascii="Calibri" w:hAnsi="Calibri" w:cs="Calibri"/>
          <w:b/>
          <w:sz w:val="22"/>
          <w:szCs w:val="22"/>
          <w:u w:val="single"/>
        </w:rPr>
        <w:t>Autres créances privilégiées et chirographaires</w:t>
      </w:r>
      <w:bookmarkEnd w:id="79"/>
      <w:r w:rsidRPr="005B15FC">
        <w:rPr>
          <w:rFonts w:ascii="Calibri" w:hAnsi="Calibri" w:cs="Calibri"/>
          <w:b/>
          <w:sz w:val="22"/>
          <w:szCs w:val="22"/>
          <w:u w:val="single"/>
        </w:rPr>
        <w:t xml:space="preserve"> </w:t>
      </w:r>
      <w:r w:rsidR="00836EA1">
        <w:rPr>
          <w:rFonts w:ascii="Calibri" w:hAnsi="Calibri" w:cs="Calibri"/>
          <w:b/>
          <w:sz w:val="22"/>
          <w:szCs w:val="22"/>
          <w:u w:val="single"/>
        </w:rPr>
        <w:t>(</w:t>
      </w:r>
      <w:r w:rsidR="003441FB" w:rsidRPr="003441FB">
        <w:rPr>
          <w:rFonts w:ascii="Calibri" w:hAnsi="Calibri" w:cs="Calibri"/>
          <w:b/>
          <w:sz w:val="22"/>
          <w:szCs w:val="22"/>
          <w:u w:val="single"/>
        </w:rPr>
        <w:t>173 197,97</w:t>
      </w:r>
      <w:r w:rsidR="00004C9D">
        <w:rPr>
          <w:rFonts w:ascii="Calibri" w:hAnsi="Calibri" w:cs="Calibri"/>
          <w:b/>
          <w:sz w:val="22"/>
          <w:szCs w:val="22"/>
          <w:u w:val="single"/>
        </w:rPr>
        <w:t xml:space="preserve"> €</w:t>
      </w:r>
      <w:r w:rsidR="00BC72A9">
        <w:rPr>
          <w:rFonts w:ascii="Calibri" w:hAnsi="Calibri" w:cs="Calibri"/>
          <w:b/>
          <w:sz w:val="22"/>
          <w:szCs w:val="22"/>
          <w:u w:val="single"/>
        </w:rPr>
        <w:t xml:space="preserve"> hors intérêts à échoir</w:t>
      </w:r>
      <w:r w:rsidR="00836EA1">
        <w:rPr>
          <w:rFonts w:ascii="Calibri" w:hAnsi="Calibri" w:cs="Calibri"/>
          <w:b/>
          <w:sz w:val="22"/>
          <w:szCs w:val="22"/>
          <w:u w:val="single"/>
        </w:rPr>
        <w:t>)</w:t>
      </w:r>
      <w:bookmarkEnd w:id="80"/>
    </w:p>
    <w:p w14:paraId="22CD3FD0" w14:textId="77777777" w:rsidR="005B15FC" w:rsidRPr="005B15FC" w:rsidRDefault="005B15FC" w:rsidP="005B15FC">
      <w:pPr>
        <w:rPr>
          <w:highlight w:val="yellow"/>
        </w:rPr>
      </w:pPr>
    </w:p>
    <w:p w14:paraId="581DB921" w14:textId="68F889DF" w:rsidR="00933BB3" w:rsidRDefault="00933BB3" w:rsidP="00933BB3">
      <w:pPr>
        <w:jc w:val="both"/>
        <w:rPr>
          <w:rFonts w:ascii="Calibri" w:hAnsi="Calibri" w:cs="Calibri"/>
          <w:sz w:val="22"/>
          <w:szCs w:val="22"/>
        </w:rPr>
      </w:pPr>
      <w:r>
        <w:rPr>
          <w:rFonts w:ascii="Calibri" w:hAnsi="Calibri" w:cs="Calibri"/>
          <w:sz w:val="22"/>
          <w:szCs w:val="22"/>
        </w:rPr>
        <w:t>Les a</w:t>
      </w:r>
      <w:r w:rsidRPr="00940835">
        <w:rPr>
          <w:rFonts w:ascii="Calibri" w:hAnsi="Calibri" w:cs="Calibri"/>
          <w:sz w:val="22"/>
          <w:szCs w:val="22"/>
        </w:rPr>
        <w:t>utres créances privilégiées et chirographaires</w:t>
      </w:r>
      <w:r>
        <w:rPr>
          <w:rFonts w:ascii="Calibri" w:hAnsi="Calibri" w:cs="Calibri"/>
          <w:sz w:val="22"/>
          <w:szCs w:val="22"/>
        </w:rPr>
        <w:t xml:space="preserve"> représentent un montant de </w:t>
      </w:r>
      <w:r w:rsidR="003441FB" w:rsidRPr="003441FB">
        <w:rPr>
          <w:rFonts w:ascii="Calibri" w:hAnsi="Calibri" w:cs="Calibri"/>
          <w:sz w:val="22"/>
          <w:szCs w:val="22"/>
        </w:rPr>
        <w:t xml:space="preserve">173 197,97 </w:t>
      </w:r>
      <w:r w:rsidR="00B55386" w:rsidRPr="00B55386">
        <w:rPr>
          <w:rFonts w:ascii="Calibri" w:hAnsi="Calibri" w:cs="Calibri"/>
          <w:sz w:val="22"/>
          <w:szCs w:val="22"/>
        </w:rPr>
        <w:t>€</w:t>
      </w:r>
      <w:r w:rsidR="00BC72A9">
        <w:rPr>
          <w:rFonts w:ascii="Calibri" w:hAnsi="Calibri" w:cs="Calibri"/>
          <w:sz w:val="22"/>
          <w:szCs w:val="22"/>
        </w:rPr>
        <w:t xml:space="preserve"> (hors intérêts à échoir</w:t>
      </w:r>
      <w:r w:rsidR="000E3411">
        <w:rPr>
          <w:rFonts w:ascii="Calibri" w:hAnsi="Calibri" w:cs="Calibri"/>
          <w:sz w:val="22"/>
          <w:szCs w:val="22"/>
        </w:rPr>
        <w:t>)</w:t>
      </w:r>
      <w:r>
        <w:rPr>
          <w:rFonts w:ascii="Calibri" w:hAnsi="Calibri" w:cs="Calibri"/>
          <w:sz w:val="22"/>
          <w:szCs w:val="22"/>
        </w:rPr>
        <w:t>.</w:t>
      </w:r>
    </w:p>
    <w:p w14:paraId="4C830D61" w14:textId="77777777" w:rsidR="00933BB3" w:rsidRPr="009D5BE5" w:rsidRDefault="00933BB3" w:rsidP="00933BB3">
      <w:pPr>
        <w:jc w:val="both"/>
        <w:rPr>
          <w:rFonts w:ascii="Calibri" w:hAnsi="Calibri" w:cs="Calibri"/>
          <w:sz w:val="22"/>
          <w:szCs w:val="22"/>
        </w:rPr>
      </w:pPr>
    </w:p>
    <w:p w14:paraId="6236EDFF" w14:textId="5E6D5631" w:rsidR="00AA5855" w:rsidRPr="00FD2349" w:rsidRDefault="00AA5855" w:rsidP="00FD2349">
      <w:pPr>
        <w:overflowPunct w:val="0"/>
        <w:autoSpaceDE w:val="0"/>
        <w:autoSpaceDN w:val="0"/>
        <w:adjustRightInd w:val="0"/>
        <w:jc w:val="both"/>
        <w:textAlignment w:val="baseline"/>
        <w:rPr>
          <w:rFonts w:ascii="Calibri" w:hAnsi="Calibri" w:cs="Calibri"/>
          <w:sz w:val="22"/>
          <w:szCs w:val="22"/>
        </w:rPr>
      </w:pPr>
      <w:r w:rsidRPr="00C630D1">
        <w:rPr>
          <w:rFonts w:ascii="Calibri" w:hAnsi="Calibri" w:cs="Calibri"/>
          <w:sz w:val="22"/>
          <w:szCs w:val="22"/>
        </w:rPr>
        <w:t xml:space="preserve">Il est proposé aux créanciers (hors créanciers titulaires de créances inférieures à 500 euros </w:t>
      </w:r>
      <w:r w:rsidR="005B15FC" w:rsidRPr="00C630D1">
        <w:rPr>
          <w:rFonts w:ascii="Calibri" w:hAnsi="Calibri" w:cs="Calibri"/>
          <w:sz w:val="22"/>
          <w:szCs w:val="22"/>
        </w:rPr>
        <w:t>ou ayant accepté de ramener le montant de leur créance à 500 euros</w:t>
      </w:r>
      <w:r w:rsidRPr="00C630D1">
        <w:rPr>
          <w:rFonts w:ascii="Calibri" w:hAnsi="Calibri" w:cs="Calibri"/>
          <w:sz w:val="22"/>
          <w:szCs w:val="22"/>
        </w:rPr>
        <w:t xml:space="preserve">) un paiement de leur créance admise à hauteur de 100% en </w:t>
      </w:r>
      <w:r w:rsidR="00FC4E0C">
        <w:rPr>
          <w:rFonts w:ascii="Calibri" w:hAnsi="Calibri" w:cs="Calibri"/>
          <w:sz w:val="22"/>
          <w:szCs w:val="22"/>
        </w:rPr>
        <w:t>5</w:t>
      </w:r>
      <w:r w:rsidRPr="00C630D1">
        <w:rPr>
          <w:rFonts w:ascii="Calibri" w:hAnsi="Calibri" w:cs="Calibri"/>
          <w:sz w:val="22"/>
          <w:szCs w:val="22"/>
        </w:rPr>
        <w:t xml:space="preserve"> échéances, sans intérêt, après une année de franchise, la première échéance étant exigible à la date anniversaire de l’arrêté du plan</w:t>
      </w:r>
      <w:r w:rsidR="00C630D1">
        <w:rPr>
          <w:rFonts w:ascii="Calibri" w:hAnsi="Calibri" w:cs="Calibri"/>
          <w:sz w:val="22"/>
          <w:szCs w:val="22"/>
        </w:rPr>
        <w:t xml:space="preserve">, selon l’échéancier suivant : </w:t>
      </w:r>
    </w:p>
    <w:p w14:paraId="19739B96" w14:textId="34D5406E" w:rsidR="00FD2349" w:rsidRDefault="00FD2349" w:rsidP="00C630D1">
      <w:pPr>
        <w:jc w:val="both"/>
        <w:rPr>
          <w:rFonts w:asciiTheme="minorHAnsi" w:eastAsiaTheme="minorHAnsi" w:hAnsiTheme="minorHAnsi" w:cstheme="minorBidi"/>
          <w:kern w:val="2"/>
          <w:sz w:val="22"/>
          <w:szCs w:val="22"/>
          <w:lang w:eastAsia="en-US"/>
          <w14:ligatures w14:val="standardContextual"/>
        </w:rPr>
      </w:pPr>
      <w:r>
        <w:fldChar w:fldCharType="begin"/>
      </w:r>
      <w:r>
        <w:instrText xml:space="preserve"> LINK Excel.Sheet.12 "https://wopi.dropbox.com/wopi/files/oid_17014599514278220032/WOPIServiceId_TP_DROPBOX_PLUS/WOPIUserId_-/Tableaux passif.xlsx" "TOLBIAC!L23C17:L28C23" \a \f 4 \h </w:instrText>
      </w:r>
      <w:r w:rsidR="00F335FA">
        <w:instrText xml:space="preserve"> \* MERGEFORMAT </w:instrText>
      </w:r>
      <w:r>
        <w:fldChar w:fldCharType="separate"/>
      </w:r>
    </w:p>
    <w:tbl>
      <w:tblPr>
        <w:tblW w:w="9100" w:type="dxa"/>
        <w:tblCellMar>
          <w:left w:w="70" w:type="dxa"/>
          <w:right w:w="70" w:type="dxa"/>
        </w:tblCellMar>
        <w:tblLook w:val="04A0" w:firstRow="1" w:lastRow="0" w:firstColumn="1" w:lastColumn="0" w:noHBand="0" w:noVBand="1"/>
      </w:tblPr>
      <w:tblGrid>
        <w:gridCol w:w="1620"/>
        <w:gridCol w:w="1200"/>
        <w:gridCol w:w="1200"/>
        <w:gridCol w:w="1200"/>
        <w:gridCol w:w="1240"/>
        <w:gridCol w:w="1240"/>
        <w:gridCol w:w="1400"/>
      </w:tblGrid>
      <w:tr w:rsidR="00FD2349" w:rsidRPr="00FD2349" w14:paraId="1EED6239" w14:textId="77777777" w:rsidTr="00FD2349">
        <w:trPr>
          <w:trHeight w:val="870"/>
        </w:trPr>
        <w:tc>
          <w:tcPr>
            <w:tcW w:w="162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5EE037E" w14:textId="5888F6DF"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Exercice</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3708AFFF"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Arrêté du plan</w:t>
            </w:r>
            <w:r w:rsidRPr="00FD2349">
              <w:rPr>
                <w:rFonts w:ascii="Calibri" w:hAnsi="Calibri" w:cs="Calibri"/>
                <w:b/>
                <w:bCs/>
                <w:color w:val="000000"/>
                <w:sz w:val="22"/>
                <w:szCs w:val="22"/>
              </w:rPr>
              <w:br/>
              <w:t>2026</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63549E74"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Année 1</w:t>
            </w:r>
            <w:r w:rsidRPr="00FD2349">
              <w:rPr>
                <w:rFonts w:ascii="Calibri" w:hAnsi="Calibri" w:cs="Calibri"/>
                <w:b/>
                <w:bCs/>
                <w:color w:val="000000"/>
                <w:sz w:val="22"/>
                <w:szCs w:val="22"/>
              </w:rPr>
              <w:br/>
              <w:t>2027</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404FB9A8"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Année 2</w:t>
            </w:r>
            <w:r w:rsidRPr="00FD2349">
              <w:rPr>
                <w:rFonts w:ascii="Calibri" w:hAnsi="Calibri" w:cs="Calibri"/>
                <w:b/>
                <w:bCs/>
                <w:color w:val="000000"/>
                <w:sz w:val="22"/>
                <w:szCs w:val="22"/>
              </w:rPr>
              <w:br/>
              <w:t>2028</w:t>
            </w:r>
          </w:p>
        </w:tc>
        <w:tc>
          <w:tcPr>
            <w:tcW w:w="1240" w:type="dxa"/>
            <w:tcBorders>
              <w:top w:val="single" w:sz="4" w:space="0" w:color="auto"/>
              <w:left w:val="nil"/>
              <w:bottom w:val="single" w:sz="4" w:space="0" w:color="auto"/>
              <w:right w:val="single" w:sz="4" w:space="0" w:color="auto"/>
            </w:tcBorders>
            <w:shd w:val="clear" w:color="000000" w:fill="FFC000"/>
            <w:vAlign w:val="center"/>
            <w:hideMark/>
          </w:tcPr>
          <w:p w14:paraId="4D9242FD"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Année 3</w:t>
            </w:r>
            <w:r w:rsidRPr="00FD2349">
              <w:rPr>
                <w:rFonts w:ascii="Calibri" w:hAnsi="Calibri" w:cs="Calibri"/>
                <w:b/>
                <w:bCs/>
                <w:color w:val="000000"/>
                <w:sz w:val="22"/>
                <w:szCs w:val="22"/>
              </w:rPr>
              <w:br/>
              <w:t>2029</w:t>
            </w:r>
          </w:p>
        </w:tc>
        <w:tc>
          <w:tcPr>
            <w:tcW w:w="1240" w:type="dxa"/>
            <w:tcBorders>
              <w:top w:val="single" w:sz="4" w:space="0" w:color="auto"/>
              <w:left w:val="nil"/>
              <w:bottom w:val="single" w:sz="4" w:space="0" w:color="auto"/>
              <w:right w:val="single" w:sz="4" w:space="0" w:color="auto"/>
            </w:tcBorders>
            <w:shd w:val="clear" w:color="000000" w:fill="FFC000"/>
            <w:vAlign w:val="center"/>
            <w:hideMark/>
          </w:tcPr>
          <w:p w14:paraId="7F20BF65"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Année 4</w:t>
            </w:r>
            <w:r w:rsidRPr="00FD2349">
              <w:rPr>
                <w:rFonts w:ascii="Calibri" w:hAnsi="Calibri" w:cs="Calibri"/>
                <w:b/>
                <w:bCs/>
                <w:color w:val="000000"/>
                <w:sz w:val="22"/>
                <w:szCs w:val="22"/>
              </w:rPr>
              <w:br/>
              <w:t>2030</w:t>
            </w:r>
          </w:p>
        </w:tc>
        <w:tc>
          <w:tcPr>
            <w:tcW w:w="1400" w:type="dxa"/>
            <w:tcBorders>
              <w:top w:val="single" w:sz="4" w:space="0" w:color="auto"/>
              <w:left w:val="nil"/>
              <w:bottom w:val="single" w:sz="4" w:space="0" w:color="auto"/>
              <w:right w:val="single" w:sz="4" w:space="0" w:color="auto"/>
            </w:tcBorders>
            <w:shd w:val="clear" w:color="000000" w:fill="FFC000"/>
            <w:vAlign w:val="center"/>
            <w:hideMark/>
          </w:tcPr>
          <w:p w14:paraId="265B7D94"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Année 5</w:t>
            </w:r>
            <w:r w:rsidRPr="00FD2349">
              <w:rPr>
                <w:rFonts w:ascii="Calibri" w:hAnsi="Calibri" w:cs="Calibri"/>
                <w:b/>
                <w:bCs/>
                <w:color w:val="000000"/>
                <w:sz w:val="22"/>
                <w:szCs w:val="22"/>
              </w:rPr>
              <w:br/>
              <w:t>2031</w:t>
            </w:r>
          </w:p>
        </w:tc>
      </w:tr>
      <w:tr w:rsidR="00FD2349" w:rsidRPr="00FD2349" w14:paraId="5D9AE497" w14:textId="77777777" w:rsidTr="00FD2349">
        <w:trPr>
          <w:trHeight w:val="290"/>
        </w:trPr>
        <w:tc>
          <w:tcPr>
            <w:tcW w:w="1620" w:type="dxa"/>
            <w:tcBorders>
              <w:top w:val="nil"/>
              <w:left w:val="single" w:sz="4" w:space="0" w:color="auto"/>
              <w:bottom w:val="single" w:sz="4" w:space="0" w:color="auto"/>
              <w:right w:val="single" w:sz="4" w:space="0" w:color="auto"/>
            </w:tcBorders>
            <w:shd w:val="clear" w:color="000000" w:fill="FFC000"/>
            <w:noWrap/>
            <w:vAlign w:val="center"/>
            <w:hideMark/>
          </w:tcPr>
          <w:p w14:paraId="13DDD4D0"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4039FA91"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0B4E5FB3"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58BA1364"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1%</w:t>
            </w:r>
          </w:p>
        </w:tc>
        <w:tc>
          <w:tcPr>
            <w:tcW w:w="1240" w:type="dxa"/>
            <w:tcBorders>
              <w:top w:val="nil"/>
              <w:left w:val="nil"/>
              <w:bottom w:val="single" w:sz="4" w:space="0" w:color="auto"/>
              <w:right w:val="single" w:sz="4" w:space="0" w:color="auto"/>
            </w:tcBorders>
            <w:shd w:val="clear" w:color="000000" w:fill="FFFFFF"/>
            <w:noWrap/>
            <w:vAlign w:val="center"/>
            <w:hideMark/>
          </w:tcPr>
          <w:p w14:paraId="7586DA76"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5%</w:t>
            </w:r>
          </w:p>
        </w:tc>
        <w:tc>
          <w:tcPr>
            <w:tcW w:w="1240" w:type="dxa"/>
            <w:tcBorders>
              <w:top w:val="nil"/>
              <w:left w:val="nil"/>
              <w:bottom w:val="single" w:sz="4" w:space="0" w:color="auto"/>
              <w:right w:val="single" w:sz="4" w:space="0" w:color="auto"/>
            </w:tcBorders>
            <w:shd w:val="clear" w:color="000000" w:fill="FFFFFF"/>
            <w:noWrap/>
            <w:vAlign w:val="center"/>
            <w:hideMark/>
          </w:tcPr>
          <w:p w14:paraId="5177D9BA"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5%</w:t>
            </w:r>
          </w:p>
        </w:tc>
        <w:tc>
          <w:tcPr>
            <w:tcW w:w="1400" w:type="dxa"/>
            <w:tcBorders>
              <w:top w:val="nil"/>
              <w:left w:val="nil"/>
              <w:bottom w:val="single" w:sz="4" w:space="0" w:color="auto"/>
              <w:right w:val="single" w:sz="4" w:space="0" w:color="auto"/>
            </w:tcBorders>
            <w:shd w:val="clear" w:color="000000" w:fill="FFFFFF"/>
            <w:noWrap/>
            <w:vAlign w:val="center"/>
            <w:hideMark/>
          </w:tcPr>
          <w:p w14:paraId="7DE88DF5" w14:textId="77777777" w:rsidR="00FD2349" w:rsidRPr="00FD2349" w:rsidRDefault="00FD2349" w:rsidP="00FD2349">
            <w:pPr>
              <w:jc w:val="center"/>
              <w:rPr>
                <w:rFonts w:ascii="Aptos Narrow" w:hAnsi="Aptos Narrow"/>
                <w:color w:val="000000"/>
                <w:sz w:val="22"/>
                <w:szCs w:val="22"/>
              </w:rPr>
            </w:pPr>
            <w:r w:rsidRPr="00FD2349">
              <w:rPr>
                <w:rFonts w:ascii="Aptos Narrow" w:hAnsi="Aptos Narrow"/>
                <w:color w:val="000000"/>
                <w:sz w:val="22"/>
                <w:szCs w:val="22"/>
              </w:rPr>
              <w:t>88%</w:t>
            </w:r>
          </w:p>
        </w:tc>
      </w:tr>
      <w:tr w:rsidR="00FD2349" w:rsidRPr="00FD2349" w14:paraId="229CD4FC" w14:textId="77777777" w:rsidTr="00FD2349">
        <w:trPr>
          <w:trHeight w:val="290"/>
        </w:trPr>
        <w:tc>
          <w:tcPr>
            <w:tcW w:w="1620" w:type="dxa"/>
            <w:tcBorders>
              <w:top w:val="nil"/>
              <w:left w:val="single" w:sz="4" w:space="0" w:color="auto"/>
              <w:bottom w:val="single" w:sz="4" w:space="0" w:color="auto"/>
              <w:right w:val="single" w:sz="4" w:space="0" w:color="auto"/>
            </w:tcBorders>
            <w:shd w:val="clear" w:color="000000" w:fill="FFC000"/>
            <w:noWrap/>
            <w:vAlign w:val="center"/>
            <w:hideMark/>
          </w:tcPr>
          <w:p w14:paraId="1A4066F9"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Échéance</w:t>
            </w:r>
          </w:p>
        </w:tc>
        <w:tc>
          <w:tcPr>
            <w:tcW w:w="1200" w:type="dxa"/>
            <w:tcBorders>
              <w:top w:val="nil"/>
              <w:left w:val="nil"/>
              <w:bottom w:val="single" w:sz="4" w:space="0" w:color="auto"/>
              <w:right w:val="single" w:sz="4" w:space="0" w:color="auto"/>
            </w:tcBorders>
            <w:noWrap/>
            <w:vAlign w:val="center"/>
            <w:hideMark/>
          </w:tcPr>
          <w:p w14:paraId="33BB2A6F"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0,00 €</w:t>
            </w:r>
          </w:p>
        </w:tc>
        <w:tc>
          <w:tcPr>
            <w:tcW w:w="1200" w:type="dxa"/>
            <w:tcBorders>
              <w:top w:val="nil"/>
              <w:left w:val="nil"/>
              <w:bottom w:val="single" w:sz="4" w:space="0" w:color="auto"/>
              <w:right w:val="single" w:sz="4" w:space="0" w:color="auto"/>
            </w:tcBorders>
            <w:noWrap/>
            <w:vAlign w:val="center"/>
            <w:hideMark/>
          </w:tcPr>
          <w:p w14:paraId="2E57C535"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1 731,98 €</w:t>
            </w:r>
          </w:p>
        </w:tc>
        <w:tc>
          <w:tcPr>
            <w:tcW w:w="1200" w:type="dxa"/>
            <w:tcBorders>
              <w:top w:val="nil"/>
              <w:left w:val="nil"/>
              <w:bottom w:val="single" w:sz="4" w:space="0" w:color="auto"/>
              <w:right w:val="single" w:sz="4" w:space="0" w:color="auto"/>
            </w:tcBorders>
            <w:noWrap/>
            <w:vAlign w:val="center"/>
            <w:hideMark/>
          </w:tcPr>
          <w:p w14:paraId="783556C5"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1 731,98 €</w:t>
            </w:r>
          </w:p>
        </w:tc>
        <w:tc>
          <w:tcPr>
            <w:tcW w:w="1240" w:type="dxa"/>
            <w:tcBorders>
              <w:top w:val="nil"/>
              <w:left w:val="nil"/>
              <w:bottom w:val="single" w:sz="4" w:space="0" w:color="auto"/>
              <w:right w:val="single" w:sz="4" w:space="0" w:color="auto"/>
            </w:tcBorders>
            <w:noWrap/>
            <w:vAlign w:val="center"/>
            <w:hideMark/>
          </w:tcPr>
          <w:p w14:paraId="314EBF93"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8 659,90 €</w:t>
            </w:r>
          </w:p>
        </w:tc>
        <w:tc>
          <w:tcPr>
            <w:tcW w:w="1240" w:type="dxa"/>
            <w:tcBorders>
              <w:top w:val="nil"/>
              <w:left w:val="nil"/>
              <w:bottom w:val="single" w:sz="4" w:space="0" w:color="auto"/>
              <w:right w:val="single" w:sz="4" w:space="0" w:color="auto"/>
            </w:tcBorders>
            <w:noWrap/>
            <w:vAlign w:val="center"/>
            <w:hideMark/>
          </w:tcPr>
          <w:p w14:paraId="3518358E"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8 659,90 €</w:t>
            </w:r>
          </w:p>
        </w:tc>
        <w:tc>
          <w:tcPr>
            <w:tcW w:w="1400" w:type="dxa"/>
            <w:tcBorders>
              <w:top w:val="nil"/>
              <w:left w:val="nil"/>
              <w:bottom w:val="single" w:sz="4" w:space="0" w:color="auto"/>
              <w:right w:val="single" w:sz="4" w:space="0" w:color="auto"/>
            </w:tcBorders>
            <w:noWrap/>
            <w:vAlign w:val="center"/>
            <w:hideMark/>
          </w:tcPr>
          <w:p w14:paraId="7CCB698A"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152 414,21 €</w:t>
            </w:r>
          </w:p>
        </w:tc>
      </w:tr>
      <w:tr w:rsidR="00FD2349" w:rsidRPr="00FD2349" w14:paraId="2036F2DD" w14:textId="77777777" w:rsidTr="00FD2349">
        <w:trPr>
          <w:trHeight w:val="290"/>
        </w:trPr>
        <w:tc>
          <w:tcPr>
            <w:tcW w:w="9100" w:type="dxa"/>
            <w:gridSpan w:val="7"/>
            <w:tcBorders>
              <w:top w:val="single" w:sz="4" w:space="0" w:color="auto"/>
              <w:left w:val="single" w:sz="4" w:space="0" w:color="auto"/>
              <w:bottom w:val="single" w:sz="4" w:space="0" w:color="auto"/>
              <w:right w:val="nil"/>
            </w:tcBorders>
            <w:noWrap/>
            <w:vAlign w:val="center"/>
            <w:hideMark/>
          </w:tcPr>
          <w:p w14:paraId="75A39924"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 </w:t>
            </w:r>
          </w:p>
        </w:tc>
      </w:tr>
      <w:tr w:rsidR="00FD2349" w:rsidRPr="00FD2349" w14:paraId="73B29388" w14:textId="77777777" w:rsidTr="00FD2349">
        <w:trPr>
          <w:trHeight w:val="290"/>
        </w:trPr>
        <w:tc>
          <w:tcPr>
            <w:tcW w:w="1620" w:type="dxa"/>
            <w:tcBorders>
              <w:top w:val="nil"/>
              <w:left w:val="single" w:sz="4" w:space="0" w:color="auto"/>
              <w:bottom w:val="single" w:sz="4" w:space="0" w:color="auto"/>
              <w:right w:val="single" w:sz="4" w:space="0" w:color="auto"/>
            </w:tcBorders>
            <w:shd w:val="clear" w:color="000000" w:fill="FFC000"/>
            <w:noWrap/>
            <w:vAlign w:val="center"/>
            <w:hideMark/>
          </w:tcPr>
          <w:p w14:paraId="770FDAA1"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Cumul %</w:t>
            </w:r>
          </w:p>
        </w:tc>
        <w:tc>
          <w:tcPr>
            <w:tcW w:w="1200" w:type="dxa"/>
            <w:tcBorders>
              <w:top w:val="nil"/>
              <w:left w:val="nil"/>
              <w:bottom w:val="single" w:sz="4" w:space="0" w:color="auto"/>
              <w:right w:val="single" w:sz="4" w:space="0" w:color="auto"/>
            </w:tcBorders>
            <w:noWrap/>
            <w:vAlign w:val="center"/>
            <w:hideMark/>
          </w:tcPr>
          <w:p w14:paraId="3643443B"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noWrap/>
            <w:vAlign w:val="center"/>
            <w:hideMark/>
          </w:tcPr>
          <w:p w14:paraId="4D9D5B15"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w:t>
            </w:r>
          </w:p>
        </w:tc>
        <w:tc>
          <w:tcPr>
            <w:tcW w:w="1200" w:type="dxa"/>
            <w:tcBorders>
              <w:top w:val="nil"/>
              <w:left w:val="nil"/>
              <w:bottom w:val="single" w:sz="4" w:space="0" w:color="auto"/>
              <w:right w:val="single" w:sz="4" w:space="0" w:color="auto"/>
            </w:tcBorders>
            <w:noWrap/>
            <w:vAlign w:val="center"/>
            <w:hideMark/>
          </w:tcPr>
          <w:p w14:paraId="28BC11B1"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2%</w:t>
            </w:r>
          </w:p>
        </w:tc>
        <w:tc>
          <w:tcPr>
            <w:tcW w:w="1240" w:type="dxa"/>
            <w:tcBorders>
              <w:top w:val="nil"/>
              <w:left w:val="nil"/>
              <w:bottom w:val="single" w:sz="4" w:space="0" w:color="auto"/>
              <w:right w:val="single" w:sz="4" w:space="0" w:color="auto"/>
            </w:tcBorders>
            <w:noWrap/>
            <w:vAlign w:val="center"/>
            <w:hideMark/>
          </w:tcPr>
          <w:p w14:paraId="51FF7DB4"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7%</w:t>
            </w:r>
          </w:p>
        </w:tc>
        <w:tc>
          <w:tcPr>
            <w:tcW w:w="1240" w:type="dxa"/>
            <w:tcBorders>
              <w:top w:val="nil"/>
              <w:left w:val="nil"/>
              <w:bottom w:val="single" w:sz="4" w:space="0" w:color="auto"/>
              <w:right w:val="single" w:sz="4" w:space="0" w:color="auto"/>
            </w:tcBorders>
            <w:noWrap/>
            <w:vAlign w:val="center"/>
            <w:hideMark/>
          </w:tcPr>
          <w:p w14:paraId="51864A64"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12%</w:t>
            </w:r>
          </w:p>
        </w:tc>
        <w:tc>
          <w:tcPr>
            <w:tcW w:w="1400" w:type="dxa"/>
            <w:tcBorders>
              <w:top w:val="nil"/>
              <w:left w:val="nil"/>
              <w:bottom w:val="single" w:sz="4" w:space="0" w:color="auto"/>
              <w:right w:val="single" w:sz="4" w:space="0" w:color="auto"/>
            </w:tcBorders>
            <w:noWrap/>
            <w:vAlign w:val="center"/>
            <w:hideMark/>
          </w:tcPr>
          <w:p w14:paraId="27E0BCAA"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100%</w:t>
            </w:r>
          </w:p>
        </w:tc>
      </w:tr>
      <w:tr w:rsidR="00FD2349" w:rsidRPr="00FD2349" w14:paraId="13E6563A" w14:textId="77777777" w:rsidTr="00FD2349">
        <w:trPr>
          <w:trHeight w:val="290"/>
        </w:trPr>
        <w:tc>
          <w:tcPr>
            <w:tcW w:w="1620" w:type="dxa"/>
            <w:tcBorders>
              <w:top w:val="nil"/>
              <w:left w:val="single" w:sz="4" w:space="0" w:color="auto"/>
              <w:bottom w:val="single" w:sz="4" w:space="0" w:color="auto"/>
              <w:right w:val="single" w:sz="4" w:space="0" w:color="auto"/>
            </w:tcBorders>
            <w:shd w:val="clear" w:color="000000" w:fill="FFC000"/>
            <w:noWrap/>
            <w:vAlign w:val="center"/>
            <w:hideMark/>
          </w:tcPr>
          <w:p w14:paraId="24D2B714" w14:textId="77777777" w:rsidR="00FD2349" w:rsidRPr="00FD2349" w:rsidRDefault="00FD2349" w:rsidP="00FD2349">
            <w:pPr>
              <w:jc w:val="center"/>
              <w:rPr>
                <w:rFonts w:ascii="Calibri" w:hAnsi="Calibri" w:cs="Calibri"/>
                <w:b/>
                <w:bCs/>
                <w:color w:val="000000"/>
                <w:sz w:val="22"/>
                <w:szCs w:val="22"/>
              </w:rPr>
            </w:pPr>
            <w:r w:rsidRPr="00FD2349">
              <w:rPr>
                <w:rFonts w:ascii="Calibri" w:hAnsi="Calibri" w:cs="Calibri"/>
                <w:b/>
                <w:bCs/>
                <w:color w:val="000000"/>
                <w:sz w:val="22"/>
                <w:szCs w:val="22"/>
              </w:rPr>
              <w:t>Cumul Échéance</w:t>
            </w:r>
          </w:p>
        </w:tc>
        <w:tc>
          <w:tcPr>
            <w:tcW w:w="1200" w:type="dxa"/>
            <w:tcBorders>
              <w:top w:val="nil"/>
              <w:left w:val="nil"/>
              <w:bottom w:val="single" w:sz="4" w:space="0" w:color="auto"/>
              <w:right w:val="single" w:sz="4" w:space="0" w:color="auto"/>
            </w:tcBorders>
            <w:noWrap/>
            <w:vAlign w:val="center"/>
            <w:hideMark/>
          </w:tcPr>
          <w:p w14:paraId="42C638AE"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0,00 €</w:t>
            </w:r>
          </w:p>
        </w:tc>
        <w:tc>
          <w:tcPr>
            <w:tcW w:w="1200" w:type="dxa"/>
            <w:tcBorders>
              <w:top w:val="nil"/>
              <w:left w:val="nil"/>
              <w:bottom w:val="single" w:sz="4" w:space="0" w:color="auto"/>
              <w:right w:val="single" w:sz="4" w:space="0" w:color="auto"/>
            </w:tcBorders>
            <w:noWrap/>
            <w:vAlign w:val="center"/>
            <w:hideMark/>
          </w:tcPr>
          <w:p w14:paraId="497950D0"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1 731,98 €</w:t>
            </w:r>
          </w:p>
        </w:tc>
        <w:tc>
          <w:tcPr>
            <w:tcW w:w="1200" w:type="dxa"/>
            <w:tcBorders>
              <w:top w:val="nil"/>
              <w:left w:val="nil"/>
              <w:bottom w:val="single" w:sz="4" w:space="0" w:color="auto"/>
              <w:right w:val="single" w:sz="4" w:space="0" w:color="auto"/>
            </w:tcBorders>
            <w:noWrap/>
            <w:vAlign w:val="center"/>
            <w:hideMark/>
          </w:tcPr>
          <w:p w14:paraId="4E1E2117"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3 463,96 €</w:t>
            </w:r>
          </w:p>
        </w:tc>
        <w:tc>
          <w:tcPr>
            <w:tcW w:w="1240" w:type="dxa"/>
            <w:tcBorders>
              <w:top w:val="nil"/>
              <w:left w:val="nil"/>
              <w:bottom w:val="single" w:sz="4" w:space="0" w:color="auto"/>
              <w:right w:val="single" w:sz="4" w:space="0" w:color="auto"/>
            </w:tcBorders>
            <w:noWrap/>
            <w:vAlign w:val="center"/>
            <w:hideMark/>
          </w:tcPr>
          <w:p w14:paraId="74E84DE9"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12 123,86 €</w:t>
            </w:r>
          </w:p>
        </w:tc>
        <w:tc>
          <w:tcPr>
            <w:tcW w:w="1240" w:type="dxa"/>
            <w:tcBorders>
              <w:top w:val="nil"/>
              <w:left w:val="nil"/>
              <w:bottom w:val="single" w:sz="4" w:space="0" w:color="auto"/>
              <w:right w:val="single" w:sz="4" w:space="0" w:color="auto"/>
            </w:tcBorders>
            <w:noWrap/>
            <w:vAlign w:val="center"/>
            <w:hideMark/>
          </w:tcPr>
          <w:p w14:paraId="0F01ECB1" w14:textId="77777777" w:rsidR="00FD2349" w:rsidRPr="00FD2349" w:rsidRDefault="00FD2349" w:rsidP="00FD2349">
            <w:pPr>
              <w:jc w:val="center"/>
              <w:rPr>
                <w:rFonts w:ascii="Calibri" w:hAnsi="Calibri" w:cs="Calibri"/>
                <w:color w:val="000000"/>
                <w:sz w:val="22"/>
                <w:szCs w:val="22"/>
              </w:rPr>
            </w:pPr>
            <w:r w:rsidRPr="00FD2349">
              <w:rPr>
                <w:rFonts w:ascii="Calibri" w:hAnsi="Calibri" w:cs="Calibri"/>
                <w:color w:val="000000"/>
                <w:sz w:val="22"/>
                <w:szCs w:val="22"/>
              </w:rPr>
              <w:t>20 783,76 €</w:t>
            </w:r>
          </w:p>
        </w:tc>
        <w:tc>
          <w:tcPr>
            <w:tcW w:w="1400" w:type="dxa"/>
            <w:tcBorders>
              <w:top w:val="nil"/>
              <w:left w:val="nil"/>
              <w:bottom w:val="single" w:sz="4" w:space="0" w:color="auto"/>
              <w:right w:val="single" w:sz="4" w:space="0" w:color="auto"/>
            </w:tcBorders>
            <w:noWrap/>
            <w:vAlign w:val="center"/>
            <w:hideMark/>
          </w:tcPr>
          <w:p w14:paraId="57E1FE51" w14:textId="77777777" w:rsidR="00FD2349" w:rsidRPr="00F335FA" w:rsidRDefault="00FD2349" w:rsidP="00FD2349">
            <w:pPr>
              <w:jc w:val="center"/>
              <w:rPr>
                <w:rFonts w:ascii="Calibri" w:hAnsi="Calibri" w:cs="Calibri"/>
                <w:b/>
                <w:bCs/>
                <w:color w:val="000000"/>
                <w:sz w:val="22"/>
                <w:szCs w:val="22"/>
              </w:rPr>
            </w:pPr>
            <w:r w:rsidRPr="00F335FA">
              <w:rPr>
                <w:rFonts w:ascii="Calibri" w:hAnsi="Calibri" w:cs="Calibri"/>
                <w:b/>
                <w:bCs/>
                <w:color w:val="000000"/>
                <w:sz w:val="22"/>
                <w:szCs w:val="22"/>
              </w:rPr>
              <w:t>173 197,97 €</w:t>
            </w:r>
          </w:p>
        </w:tc>
      </w:tr>
    </w:tbl>
    <w:p w14:paraId="61F3A542" w14:textId="068698A9" w:rsidR="00FD2349" w:rsidRDefault="00FD2349" w:rsidP="00C630D1">
      <w:pPr>
        <w:jc w:val="both"/>
        <w:rPr>
          <w:rFonts w:ascii="Calibri" w:hAnsi="Calibri" w:cs="Calibri"/>
          <w:b/>
          <w:sz w:val="22"/>
          <w:szCs w:val="22"/>
        </w:rPr>
      </w:pPr>
      <w:r>
        <w:rPr>
          <w:rFonts w:ascii="Calibri" w:hAnsi="Calibri" w:cs="Calibri"/>
          <w:b/>
          <w:sz w:val="22"/>
          <w:szCs w:val="22"/>
        </w:rPr>
        <w:lastRenderedPageBreak/>
        <w:fldChar w:fldCharType="end"/>
      </w:r>
    </w:p>
    <w:p w14:paraId="1735F5BB" w14:textId="77777777" w:rsidR="00077316" w:rsidRPr="00077316" w:rsidRDefault="00077316" w:rsidP="00384A65">
      <w:pPr>
        <w:jc w:val="both"/>
        <w:rPr>
          <w:rFonts w:ascii="Calibri" w:hAnsi="Calibri" w:cs="Calibri"/>
          <w:b/>
          <w:bCs/>
          <w:sz w:val="22"/>
          <w:szCs w:val="22"/>
        </w:rPr>
      </w:pPr>
      <w:r w:rsidRPr="00077316">
        <w:rPr>
          <w:rFonts w:ascii="Calibri" w:hAnsi="Calibri" w:cs="Calibri"/>
          <w:bCs/>
          <w:sz w:val="22"/>
          <w:szCs w:val="22"/>
        </w:rPr>
        <w:t xml:space="preserve">Il est précisé que pour les créances d’emprunt dont les intérêts ont continué à courir en vertu de l’article L. 622-28 du code de commerce (créance résultant d’un contrat de prêt conclu pour une durée égale ou supérieure à un an), le calcul des annuités s’opérera comme suit : </w:t>
      </w:r>
    </w:p>
    <w:p w14:paraId="0C20C43A" w14:textId="77777777" w:rsidR="00077316" w:rsidRPr="00077316" w:rsidRDefault="00077316" w:rsidP="00B132A0">
      <w:pPr>
        <w:pStyle w:val="Paragraphedeliste"/>
        <w:numPr>
          <w:ilvl w:val="0"/>
          <w:numId w:val="3"/>
        </w:numPr>
        <w:overflowPunct w:val="0"/>
        <w:autoSpaceDE w:val="0"/>
        <w:autoSpaceDN w:val="0"/>
        <w:adjustRightInd w:val="0"/>
        <w:spacing w:before="120"/>
        <w:ind w:left="714" w:hanging="357"/>
        <w:contextualSpacing w:val="0"/>
        <w:jc w:val="both"/>
        <w:textAlignment w:val="baseline"/>
        <w:rPr>
          <w:rFonts w:ascii="Calibri" w:hAnsi="Calibri" w:cs="Calibri"/>
          <w:b/>
          <w:bCs/>
          <w:sz w:val="22"/>
          <w:szCs w:val="22"/>
        </w:rPr>
      </w:pPr>
      <w:r w:rsidRPr="00077316">
        <w:rPr>
          <w:rFonts w:ascii="Calibri" w:hAnsi="Calibri" w:cs="Calibri"/>
          <w:bCs/>
          <w:sz w:val="22"/>
          <w:szCs w:val="22"/>
        </w:rPr>
        <w:t>La créance en capital sera amortie et payée selon le taux de remboursement du plan ;</w:t>
      </w:r>
    </w:p>
    <w:p w14:paraId="6014AEE0" w14:textId="77777777" w:rsidR="00077316" w:rsidRPr="00077316" w:rsidRDefault="00077316" w:rsidP="00B132A0">
      <w:pPr>
        <w:pStyle w:val="Paragraphedeliste"/>
        <w:numPr>
          <w:ilvl w:val="0"/>
          <w:numId w:val="3"/>
        </w:numPr>
        <w:overflowPunct w:val="0"/>
        <w:autoSpaceDE w:val="0"/>
        <w:autoSpaceDN w:val="0"/>
        <w:adjustRightInd w:val="0"/>
        <w:spacing w:before="120"/>
        <w:contextualSpacing w:val="0"/>
        <w:jc w:val="both"/>
        <w:textAlignment w:val="baseline"/>
        <w:rPr>
          <w:rFonts w:ascii="Calibri" w:hAnsi="Calibri" w:cs="Calibri"/>
          <w:b/>
          <w:bCs/>
          <w:sz w:val="22"/>
          <w:szCs w:val="22"/>
        </w:rPr>
      </w:pPr>
      <w:r w:rsidRPr="00077316">
        <w:rPr>
          <w:rFonts w:ascii="Calibri" w:hAnsi="Calibri" w:cs="Calibri"/>
          <w:bCs/>
          <w:sz w:val="22"/>
          <w:szCs w:val="22"/>
        </w:rPr>
        <w:t>La créance d’intérêts sera recalculée sur la durée du plan de redressement, conformément au taux contractuel stipulé dans le contrat de prêt, et son montant total sera ajouté à celui de la créance en principal et soumis au même échéancier de remboursement annuel et progressif du plan.</w:t>
      </w:r>
    </w:p>
    <w:p w14:paraId="14859DFF" w14:textId="77777777" w:rsidR="00077316" w:rsidRPr="00077316" w:rsidRDefault="00077316" w:rsidP="00384A65">
      <w:pPr>
        <w:jc w:val="both"/>
        <w:rPr>
          <w:rFonts w:ascii="Calibri" w:eastAsiaTheme="minorHAnsi" w:hAnsi="Calibri" w:cs="Calibri"/>
          <w:b/>
          <w:bCs/>
          <w:sz w:val="22"/>
          <w:szCs w:val="22"/>
          <w:lang w:eastAsia="en-US"/>
        </w:rPr>
      </w:pPr>
      <w:bookmarkStart w:id="81" w:name="_Hlk125033753"/>
    </w:p>
    <w:p w14:paraId="700C1ABF" w14:textId="21654FBB" w:rsidR="00077316" w:rsidRDefault="00077316" w:rsidP="00384A65">
      <w:pPr>
        <w:jc w:val="both"/>
        <w:rPr>
          <w:rFonts w:ascii="Calibri" w:eastAsiaTheme="minorHAnsi" w:hAnsi="Calibri" w:cs="Calibri"/>
          <w:bCs/>
          <w:sz w:val="22"/>
          <w:szCs w:val="22"/>
          <w:lang w:eastAsia="en-US"/>
        </w:rPr>
      </w:pPr>
      <w:r w:rsidRPr="00077316">
        <w:rPr>
          <w:rFonts w:ascii="Calibri" w:eastAsiaTheme="minorHAnsi" w:hAnsi="Calibri" w:cs="Calibri"/>
          <w:bCs/>
          <w:sz w:val="22"/>
          <w:szCs w:val="22"/>
          <w:lang w:eastAsia="en-US"/>
        </w:rPr>
        <w:t>Il est également précisé qu’aucune majoration du taux contractuel (intérêt de retard) ne sera appliquée pendant la période d’observation et pendant l’exécution du plan, sous réserve de sa parfaite exécution.</w:t>
      </w:r>
    </w:p>
    <w:p w14:paraId="2B24BD31" w14:textId="77777777" w:rsidR="000E3411" w:rsidRDefault="000E3411" w:rsidP="00384A65">
      <w:pPr>
        <w:jc w:val="both"/>
        <w:rPr>
          <w:rFonts w:ascii="Calibri" w:eastAsiaTheme="minorHAnsi" w:hAnsi="Calibri" w:cs="Calibri"/>
          <w:bCs/>
          <w:sz w:val="22"/>
          <w:szCs w:val="22"/>
          <w:lang w:eastAsia="en-US"/>
        </w:rPr>
      </w:pPr>
    </w:p>
    <w:p w14:paraId="29E07AA8" w14:textId="77777777" w:rsidR="00AA5855" w:rsidRPr="00AA5855" w:rsidRDefault="00AA5855" w:rsidP="00276AA3">
      <w:pPr>
        <w:jc w:val="center"/>
        <w:rPr>
          <w:rFonts w:ascii="Calibri" w:hAnsi="Calibri" w:cs="Calibri"/>
          <w:sz w:val="22"/>
          <w:szCs w:val="22"/>
        </w:rPr>
      </w:pPr>
      <w:bookmarkStart w:id="82" w:name="_Hlk138859151"/>
      <w:bookmarkEnd w:id="81"/>
      <w:r w:rsidRPr="00AA5855">
        <w:rPr>
          <w:rFonts w:ascii="Calibri" w:hAnsi="Calibri" w:cs="Calibri"/>
          <w:sz w:val="22"/>
          <w:szCs w:val="22"/>
        </w:rPr>
        <w:t>*****</w:t>
      </w:r>
    </w:p>
    <w:bookmarkEnd w:id="82"/>
    <w:p w14:paraId="23CE4B16" w14:textId="77777777" w:rsidR="00AA5855" w:rsidRPr="00AA5855" w:rsidRDefault="00AA5855" w:rsidP="00276AA3">
      <w:pPr>
        <w:jc w:val="both"/>
        <w:rPr>
          <w:rFonts w:ascii="Calibri" w:hAnsi="Calibri" w:cs="Calibri"/>
          <w:sz w:val="22"/>
          <w:szCs w:val="22"/>
        </w:rPr>
      </w:pPr>
    </w:p>
    <w:p w14:paraId="3C234C7B" w14:textId="77777777" w:rsidR="00AA5855" w:rsidRPr="00AA5855" w:rsidRDefault="00AA5855" w:rsidP="00276AA3">
      <w:pPr>
        <w:jc w:val="both"/>
        <w:rPr>
          <w:rFonts w:ascii="Calibri" w:hAnsi="Calibri" w:cs="Calibri"/>
          <w:sz w:val="22"/>
          <w:szCs w:val="22"/>
        </w:rPr>
      </w:pPr>
      <w:r w:rsidRPr="00AA5855">
        <w:rPr>
          <w:rFonts w:ascii="Calibri" w:hAnsi="Calibri" w:cs="Calibri"/>
          <w:sz w:val="22"/>
          <w:szCs w:val="22"/>
        </w:rPr>
        <w:t>Les dividendes annuels seront portables et exigibles aux dates anniversaires de l'arrêté du plan.</w:t>
      </w:r>
    </w:p>
    <w:p w14:paraId="1151C9DD" w14:textId="60106146" w:rsidR="00AA5855" w:rsidRPr="00AA5855" w:rsidRDefault="00166908" w:rsidP="00166908">
      <w:pPr>
        <w:tabs>
          <w:tab w:val="left" w:pos="3736"/>
        </w:tabs>
        <w:jc w:val="both"/>
        <w:rPr>
          <w:rFonts w:ascii="Calibri" w:hAnsi="Calibri" w:cs="Calibri"/>
          <w:sz w:val="22"/>
          <w:szCs w:val="22"/>
        </w:rPr>
      </w:pPr>
      <w:r>
        <w:rPr>
          <w:rFonts w:ascii="Calibri" w:hAnsi="Calibri" w:cs="Calibri"/>
          <w:sz w:val="22"/>
          <w:szCs w:val="22"/>
        </w:rPr>
        <w:tab/>
      </w:r>
    </w:p>
    <w:p w14:paraId="09B9E8AC" w14:textId="77777777" w:rsidR="00AA5855" w:rsidRPr="00AA5855" w:rsidRDefault="00AA5855" w:rsidP="00276AA3">
      <w:pPr>
        <w:pStyle w:val="Corpsdetexte"/>
        <w:rPr>
          <w:rFonts w:ascii="Calibri" w:hAnsi="Calibri" w:cs="Calibri"/>
          <w:szCs w:val="22"/>
        </w:rPr>
      </w:pPr>
      <w:r w:rsidRPr="00AA5855">
        <w:rPr>
          <w:rFonts w:ascii="Calibri" w:hAnsi="Calibri" w:cs="Calibri"/>
          <w:szCs w:val="22"/>
        </w:rPr>
        <w:t>Les versements seront effectués entre les mains du commissaire à l’exécution du plan lequel aura la charge de répartir les fonds aux créanciers à la date d’échéance.</w:t>
      </w:r>
    </w:p>
    <w:p w14:paraId="78BFCCE6" w14:textId="5053CC8F" w:rsidR="002C2F91" w:rsidRDefault="002C2F91" w:rsidP="00044FBE">
      <w:pPr>
        <w:spacing w:line="259" w:lineRule="auto"/>
        <w:rPr>
          <w:rFonts w:ascii="Calibri" w:hAnsi="Calibri" w:cs="Calibri"/>
          <w:b/>
          <w:sz w:val="22"/>
          <w:szCs w:val="22"/>
        </w:rPr>
      </w:pPr>
      <w:bookmarkStart w:id="83" w:name="_Toc191908201"/>
      <w:bookmarkEnd w:id="44"/>
    </w:p>
    <w:p w14:paraId="18C62136" w14:textId="410505E4" w:rsidR="0017192A" w:rsidRPr="00CA0AFB" w:rsidRDefault="0017192A" w:rsidP="002342B3">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84" w:name="_Toc222908304"/>
      <w:r w:rsidRPr="00CA0AFB">
        <w:rPr>
          <w:rFonts w:ascii="Calibri" w:hAnsi="Calibri" w:cs="Calibri"/>
          <w:b/>
          <w:sz w:val="22"/>
          <w:szCs w:val="22"/>
        </w:rPr>
        <w:t>PREVISION DE TRESORERIE SUR LA DUREE DU PROJET DE PLAN</w:t>
      </w:r>
      <w:bookmarkEnd w:id="83"/>
      <w:bookmarkEnd w:id="84"/>
    </w:p>
    <w:p w14:paraId="087E2A17" w14:textId="77777777" w:rsidR="00AA5855" w:rsidRPr="00AA5855" w:rsidRDefault="00AA5855" w:rsidP="00AA5855">
      <w:pPr>
        <w:ind w:left="993"/>
        <w:rPr>
          <w:rFonts w:ascii="Calibri" w:hAnsi="Calibri" w:cs="Calibri"/>
          <w:sz w:val="22"/>
          <w:szCs w:val="22"/>
        </w:rPr>
      </w:pPr>
    </w:p>
    <w:p w14:paraId="026046C0" w14:textId="598D2E9A" w:rsidR="002C1C43" w:rsidRDefault="00B26375" w:rsidP="00B26375">
      <w:pPr>
        <w:numPr>
          <w:ilvl w:val="12"/>
          <w:numId w:val="0"/>
        </w:numPr>
        <w:jc w:val="both"/>
        <w:rPr>
          <w:rFonts w:ascii="Calibri" w:hAnsi="Calibri" w:cs="Calibri"/>
          <w:sz w:val="22"/>
          <w:szCs w:val="22"/>
        </w:rPr>
      </w:pPr>
      <w:r w:rsidRPr="00003E07">
        <w:rPr>
          <w:rFonts w:ascii="Calibri" w:hAnsi="Calibri" w:cs="Calibri"/>
          <w:sz w:val="22"/>
          <w:szCs w:val="22"/>
        </w:rPr>
        <w:t xml:space="preserve">La prévision </w:t>
      </w:r>
      <w:r>
        <w:rPr>
          <w:rFonts w:ascii="Calibri" w:hAnsi="Calibri" w:cs="Calibri"/>
          <w:sz w:val="22"/>
          <w:szCs w:val="22"/>
        </w:rPr>
        <w:t>de trésorerie</w:t>
      </w:r>
      <w:r w:rsidRPr="00003E07">
        <w:rPr>
          <w:rFonts w:ascii="Calibri" w:hAnsi="Calibri" w:cs="Calibri"/>
          <w:sz w:val="22"/>
          <w:szCs w:val="22"/>
        </w:rPr>
        <w:t xml:space="preserve"> annuelle sur la durée du projet de plan, </w:t>
      </w:r>
      <w:r w:rsidR="00A82B37" w:rsidRPr="00003E07">
        <w:rPr>
          <w:rFonts w:ascii="Calibri" w:hAnsi="Calibri" w:cs="Calibri"/>
          <w:sz w:val="22"/>
          <w:szCs w:val="22"/>
        </w:rPr>
        <w:t>établie</w:t>
      </w:r>
      <w:r w:rsidR="00A82B37">
        <w:rPr>
          <w:rFonts w:ascii="Calibri" w:hAnsi="Calibri" w:cs="Calibri"/>
          <w:sz w:val="22"/>
          <w:szCs w:val="22"/>
        </w:rPr>
        <w:t xml:space="preserve"> par le management et </w:t>
      </w:r>
      <w:r w:rsidR="00182CD7">
        <w:rPr>
          <w:rFonts w:ascii="Calibri" w:hAnsi="Calibri" w:cs="Calibri"/>
          <w:sz w:val="22"/>
          <w:szCs w:val="22"/>
        </w:rPr>
        <w:t>revue</w:t>
      </w:r>
      <w:r w:rsidR="00182CD7" w:rsidRPr="00003E07">
        <w:rPr>
          <w:rFonts w:ascii="Calibri" w:hAnsi="Calibri" w:cs="Calibri"/>
          <w:sz w:val="22"/>
          <w:szCs w:val="22"/>
        </w:rPr>
        <w:t xml:space="preserve"> </w:t>
      </w:r>
      <w:r w:rsidRPr="00003E07">
        <w:rPr>
          <w:rFonts w:ascii="Calibri" w:hAnsi="Calibri" w:cs="Calibri"/>
          <w:sz w:val="22"/>
          <w:szCs w:val="22"/>
        </w:rPr>
        <w:t xml:space="preserve">par le cabinet </w:t>
      </w:r>
      <w:proofErr w:type="spellStart"/>
      <w:r w:rsidRPr="00003E07">
        <w:rPr>
          <w:rFonts w:ascii="Calibri" w:hAnsi="Calibri" w:cs="Calibri"/>
          <w:sz w:val="22"/>
          <w:szCs w:val="22"/>
        </w:rPr>
        <w:t>Accuracy</w:t>
      </w:r>
      <w:proofErr w:type="spellEnd"/>
      <w:r w:rsidRPr="00003E07">
        <w:rPr>
          <w:rFonts w:ascii="Calibri" w:hAnsi="Calibri" w:cs="Calibri"/>
          <w:sz w:val="22"/>
          <w:szCs w:val="22"/>
        </w:rPr>
        <w:t>, est reproduite ci-après.</w:t>
      </w:r>
    </w:p>
    <w:tbl>
      <w:tblPr>
        <w:tblW w:w="10165" w:type="dxa"/>
        <w:tblInd w:w="-567" w:type="dxa"/>
        <w:tblCellMar>
          <w:left w:w="70" w:type="dxa"/>
          <w:right w:w="70" w:type="dxa"/>
        </w:tblCellMar>
        <w:tblLook w:val="04A0" w:firstRow="1" w:lastRow="0" w:firstColumn="1" w:lastColumn="0" w:noHBand="0" w:noVBand="1"/>
      </w:tblPr>
      <w:tblGrid>
        <w:gridCol w:w="4980"/>
        <w:gridCol w:w="185"/>
        <w:gridCol w:w="1000"/>
        <w:gridCol w:w="1000"/>
        <w:gridCol w:w="1000"/>
        <w:gridCol w:w="1000"/>
        <w:gridCol w:w="1000"/>
      </w:tblGrid>
      <w:tr w:rsidR="00B77871" w14:paraId="234B7AE8" w14:textId="77777777" w:rsidTr="00DC6838">
        <w:trPr>
          <w:trHeight w:val="225"/>
        </w:trPr>
        <w:tc>
          <w:tcPr>
            <w:tcW w:w="4980" w:type="dxa"/>
            <w:tcBorders>
              <w:top w:val="nil"/>
              <w:left w:val="nil"/>
              <w:bottom w:val="nil"/>
              <w:right w:val="nil"/>
            </w:tcBorders>
            <w:noWrap/>
            <w:vAlign w:val="center"/>
            <w:hideMark/>
          </w:tcPr>
          <w:p w14:paraId="431ADA68" w14:textId="77777777" w:rsidR="00B77871" w:rsidRDefault="00B77871">
            <w:pPr>
              <w:rPr>
                <w:sz w:val="20"/>
                <w:szCs w:val="20"/>
              </w:rPr>
            </w:pPr>
          </w:p>
        </w:tc>
        <w:tc>
          <w:tcPr>
            <w:tcW w:w="185" w:type="dxa"/>
            <w:tcBorders>
              <w:top w:val="nil"/>
              <w:left w:val="nil"/>
              <w:bottom w:val="nil"/>
              <w:right w:val="nil"/>
            </w:tcBorders>
            <w:vAlign w:val="center"/>
            <w:hideMark/>
          </w:tcPr>
          <w:p w14:paraId="78399EC5" w14:textId="77777777" w:rsidR="00B77871" w:rsidRDefault="00B77871">
            <w:pPr>
              <w:rPr>
                <w:sz w:val="20"/>
                <w:szCs w:val="20"/>
              </w:rPr>
            </w:pPr>
          </w:p>
        </w:tc>
        <w:tc>
          <w:tcPr>
            <w:tcW w:w="1000" w:type="dxa"/>
            <w:tcBorders>
              <w:top w:val="nil"/>
              <w:left w:val="nil"/>
              <w:bottom w:val="nil"/>
              <w:right w:val="nil"/>
            </w:tcBorders>
            <w:vAlign w:val="center"/>
            <w:hideMark/>
          </w:tcPr>
          <w:p w14:paraId="558CE759"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-26</w:t>
            </w:r>
          </w:p>
        </w:tc>
        <w:tc>
          <w:tcPr>
            <w:tcW w:w="1000" w:type="dxa"/>
            <w:tcBorders>
              <w:top w:val="nil"/>
              <w:left w:val="nil"/>
              <w:bottom w:val="nil"/>
              <w:right w:val="nil"/>
            </w:tcBorders>
            <w:vAlign w:val="center"/>
            <w:hideMark/>
          </w:tcPr>
          <w:p w14:paraId="19941DDF"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1000" w:type="dxa"/>
            <w:tcBorders>
              <w:top w:val="nil"/>
              <w:left w:val="nil"/>
              <w:bottom w:val="nil"/>
              <w:right w:val="nil"/>
            </w:tcBorders>
            <w:vAlign w:val="center"/>
            <w:hideMark/>
          </w:tcPr>
          <w:p w14:paraId="624AB400"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1000" w:type="dxa"/>
            <w:tcBorders>
              <w:top w:val="nil"/>
              <w:left w:val="nil"/>
              <w:bottom w:val="nil"/>
              <w:right w:val="nil"/>
            </w:tcBorders>
            <w:vAlign w:val="center"/>
            <w:hideMark/>
          </w:tcPr>
          <w:p w14:paraId="66E8427C"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1000" w:type="dxa"/>
            <w:tcBorders>
              <w:top w:val="nil"/>
              <w:left w:val="nil"/>
              <w:bottom w:val="nil"/>
              <w:right w:val="nil"/>
            </w:tcBorders>
            <w:vAlign w:val="center"/>
            <w:hideMark/>
          </w:tcPr>
          <w:p w14:paraId="774B6AC2"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r>
      <w:tr w:rsidR="00B77871" w14:paraId="3D5FCFB2" w14:textId="77777777" w:rsidTr="00DC6838">
        <w:trPr>
          <w:trHeight w:val="225"/>
        </w:trPr>
        <w:tc>
          <w:tcPr>
            <w:tcW w:w="4980" w:type="dxa"/>
            <w:tcBorders>
              <w:top w:val="nil"/>
              <w:left w:val="nil"/>
              <w:bottom w:val="single" w:sz="4" w:space="0" w:color="000000"/>
              <w:right w:val="nil"/>
            </w:tcBorders>
            <w:vAlign w:val="center"/>
            <w:hideMark/>
          </w:tcPr>
          <w:p w14:paraId="21B6D573" w14:textId="77777777" w:rsidR="00B77871" w:rsidRDefault="00B77871">
            <w:pPr>
              <w:rPr>
                <w:rFonts w:ascii="Arial" w:hAnsi="Arial" w:cs="Arial"/>
                <w:b/>
                <w:bCs/>
                <w:color w:val="000000"/>
                <w:sz w:val="16"/>
                <w:szCs w:val="16"/>
              </w:rPr>
            </w:pPr>
            <w:r>
              <w:rPr>
                <w:rFonts w:ascii="Arial" w:hAnsi="Arial" w:cs="Arial"/>
                <w:b/>
                <w:bCs/>
                <w:color w:val="000000"/>
                <w:sz w:val="16"/>
                <w:szCs w:val="16"/>
              </w:rPr>
              <w:t>En k€</w:t>
            </w:r>
          </w:p>
        </w:tc>
        <w:tc>
          <w:tcPr>
            <w:tcW w:w="185" w:type="dxa"/>
            <w:tcBorders>
              <w:top w:val="nil"/>
              <w:left w:val="nil"/>
              <w:bottom w:val="single" w:sz="4" w:space="0" w:color="000000"/>
              <w:right w:val="nil"/>
            </w:tcBorders>
            <w:vAlign w:val="center"/>
            <w:hideMark/>
          </w:tcPr>
          <w:p w14:paraId="7E2754F8"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nil"/>
              <w:left w:val="nil"/>
              <w:bottom w:val="single" w:sz="4" w:space="0" w:color="000000"/>
              <w:right w:val="nil"/>
            </w:tcBorders>
            <w:vAlign w:val="center"/>
            <w:hideMark/>
          </w:tcPr>
          <w:p w14:paraId="45F3B723"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1000" w:type="dxa"/>
            <w:tcBorders>
              <w:top w:val="nil"/>
              <w:left w:val="nil"/>
              <w:bottom w:val="single" w:sz="4" w:space="0" w:color="000000"/>
              <w:right w:val="nil"/>
            </w:tcBorders>
            <w:vAlign w:val="center"/>
            <w:hideMark/>
          </w:tcPr>
          <w:p w14:paraId="31C59C19"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1000" w:type="dxa"/>
            <w:tcBorders>
              <w:top w:val="nil"/>
              <w:left w:val="nil"/>
              <w:bottom w:val="single" w:sz="4" w:space="0" w:color="000000"/>
              <w:right w:val="nil"/>
            </w:tcBorders>
            <w:vAlign w:val="center"/>
            <w:hideMark/>
          </w:tcPr>
          <w:p w14:paraId="05023185"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1000" w:type="dxa"/>
            <w:tcBorders>
              <w:top w:val="nil"/>
              <w:left w:val="nil"/>
              <w:bottom w:val="single" w:sz="4" w:space="0" w:color="000000"/>
              <w:right w:val="nil"/>
            </w:tcBorders>
            <w:vAlign w:val="center"/>
            <w:hideMark/>
          </w:tcPr>
          <w:p w14:paraId="403264E7"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c>
          <w:tcPr>
            <w:tcW w:w="1000" w:type="dxa"/>
            <w:tcBorders>
              <w:top w:val="nil"/>
              <w:left w:val="nil"/>
              <w:bottom w:val="single" w:sz="4" w:space="0" w:color="000000"/>
              <w:right w:val="nil"/>
            </w:tcBorders>
            <w:vAlign w:val="center"/>
            <w:hideMark/>
          </w:tcPr>
          <w:p w14:paraId="6855C47D" w14:textId="77777777" w:rsidR="00B77871" w:rsidRDefault="00B77871">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-31</w:t>
            </w:r>
          </w:p>
        </w:tc>
      </w:tr>
      <w:tr w:rsidR="00B77871" w14:paraId="3F8B884A" w14:textId="77777777" w:rsidTr="00DC6838">
        <w:trPr>
          <w:trHeight w:val="108"/>
        </w:trPr>
        <w:tc>
          <w:tcPr>
            <w:tcW w:w="4980" w:type="dxa"/>
            <w:tcBorders>
              <w:top w:val="nil"/>
              <w:left w:val="nil"/>
              <w:bottom w:val="nil"/>
              <w:right w:val="nil"/>
            </w:tcBorders>
            <w:noWrap/>
            <w:vAlign w:val="center"/>
            <w:hideMark/>
          </w:tcPr>
          <w:p w14:paraId="1FAFA2CD" w14:textId="77777777" w:rsidR="00B77871" w:rsidRDefault="00B7787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300562B9" w14:textId="77777777" w:rsidR="00B77871" w:rsidRDefault="00B77871">
            <w:pPr>
              <w:rPr>
                <w:sz w:val="20"/>
                <w:szCs w:val="20"/>
              </w:rPr>
            </w:pPr>
          </w:p>
        </w:tc>
        <w:tc>
          <w:tcPr>
            <w:tcW w:w="1000" w:type="dxa"/>
            <w:tcBorders>
              <w:top w:val="nil"/>
              <w:left w:val="nil"/>
              <w:bottom w:val="nil"/>
              <w:right w:val="nil"/>
            </w:tcBorders>
            <w:noWrap/>
            <w:vAlign w:val="center"/>
            <w:hideMark/>
          </w:tcPr>
          <w:p w14:paraId="59A91B49" w14:textId="77777777" w:rsidR="00B77871" w:rsidRDefault="00B77871">
            <w:pPr>
              <w:rPr>
                <w:sz w:val="20"/>
                <w:szCs w:val="20"/>
              </w:rPr>
            </w:pPr>
          </w:p>
        </w:tc>
        <w:tc>
          <w:tcPr>
            <w:tcW w:w="1000" w:type="dxa"/>
            <w:tcBorders>
              <w:top w:val="nil"/>
              <w:left w:val="nil"/>
              <w:bottom w:val="nil"/>
              <w:right w:val="nil"/>
            </w:tcBorders>
            <w:noWrap/>
            <w:vAlign w:val="center"/>
            <w:hideMark/>
          </w:tcPr>
          <w:p w14:paraId="4788B5AE" w14:textId="77777777" w:rsidR="00B77871" w:rsidRDefault="00B77871">
            <w:pPr>
              <w:rPr>
                <w:sz w:val="20"/>
                <w:szCs w:val="20"/>
              </w:rPr>
            </w:pPr>
          </w:p>
        </w:tc>
        <w:tc>
          <w:tcPr>
            <w:tcW w:w="1000" w:type="dxa"/>
            <w:tcBorders>
              <w:top w:val="nil"/>
              <w:left w:val="nil"/>
              <w:bottom w:val="nil"/>
              <w:right w:val="nil"/>
            </w:tcBorders>
            <w:noWrap/>
            <w:vAlign w:val="center"/>
            <w:hideMark/>
          </w:tcPr>
          <w:p w14:paraId="62AEBF35" w14:textId="77777777" w:rsidR="00B77871" w:rsidRDefault="00B77871">
            <w:pPr>
              <w:rPr>
                <w:sz w:val="20"/>
                <w:szCs w:val="20"/>
              </w:rPr>
            </w:pPr>
          </w:p>
        </w:tc>
        <w:tc>
          <w:tcPr>
            <w:tcW w:w="1000" w:type="dxa"/>
            <w:tcBorders>
              <w:top w:val="nil"/>
              <w:left w:val="nil"/>
              <w:bottom w:val="nil"/>
              <w:right w:val="nil"/>
            </w:tcBorders>
            <w:noWrap/>
            <w:vAlign w:val="center"/>
            <w:hideMark/>
          </w:tcPr>
          <w:p w14:paraId="64EA3CC7" w14:textId="77777777" w:rsidR="00B77871" w:rsidRDefault="00B77871">
            <w:pPr>
              <w:rPr>
                <w:sz w:val="20"/>
                <w:szCs w:val="20"/>
              </w:rPr>
            </w:pPr>
          </w:p>
        </w:tc>
        <w:tc>
          <w:tcPr>
            <w:tcW w:w="1000" w:type="dxa"/>
            <w:tcBorders>
              <w:top w:val="nil"/>
              <w:left w:val="nil"/>
              <w:bottom w:val="nil"/>
              <w:right w:val="nil"/>
            </w:tcBorders>
            <w:noWrap/>
            <w:vAlign w:val="center"/>
            <w:hideMark/>
          </w:tcPr>
          <w:p w14:paraId="092A870C" w14:textId="77777777" w:rsidR="00B77871" w:rsidRDefault="00B77871">
            <w:pPr>
              <w:rPr>
                <w:sz w:val="20"/>
                <w:szCs w:val="20"/>
              </w:rPr>
            </w:pPr>
          </w:p>
        </w:tc>
      </w:tr>
      <w:tr w:rsidR="00B77871" w14:paraId="14011FE3" w14:textId="77777777" w:rsidTr="00DC6838">
        <w:trPr>
          <w:trHeight w:val="200"/>
        </w:trPr>
        <w:tc>
          <w:tcPr>
            <w:tcW w:w="4980" w:type="dxa"/>
            <w:tcBorders>
              <w:top w:val="nil"/>
              <w:left w:val="nil"/>
              <w:bottom w:val="nil"/>
              <w:right w:val="nil"/>
            </w:tcBorders>
            <w:noWrap/>
            <w:vAlign w:val="center"/>
            <w:hideMark/>
          </w:tcPr>
          <w:p w14:paraId="66F849CF" w14:textId="77777777" w:rsidR="00B77871" w:rsidRDefault="00B77871">
            <w:pPr>
              <w:rPr>
                <w:rFonts w:ascii="Arial" w:hAnsi="Arial" w:cs="Arial"/>
                <w:sz w:val="16"/>
                <w:szCs w:val="16"/>
              </w:rPr>
            </w:pPr>
            <w:r>
              <w:rPr>
                <w:rFonts w:ascii="Arial" w:hAnsi="Arial" w:cs="Arial"/>
                <w:sz w:val="16"/>
                <w:szCs w:val="16"/>
              </w:rPr>
              <w:t>Loyers</w:t>
            </w:r>
          </w:p>
        </w:tc>
        <w:tc>
          <w:tcPr>
            <w:tcW w:w="185" w:type="dxa"/>
            <w:tcBorders>
              <w:top w:val="nil"/>
              <w:left w:val="nil"/>
              <w:bottom w:val="nil"/>
              <w:right w:val="nil"/>
            </w:tcBorders>
            <w:noWrap/>
            <w:vAlign w:val="center"/>
            <w:hideMark/>
          </w:tcPr>
          <w:p w14:paraId="5E347C9D"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1E9D7AE3" w14:textId="77777777" w:rsidR="00B77871" w:rsidRDefault="00B77871">
            <w:pPr>
              <w:jc w:val="right"/>
              <w:rPr>
                <w:rFonts w:ascii="Arial" w:hAnsi="Arial" w:cs="Arial"/>
                <w:sz w:val="16"/>
                <w:szCs w:val="16"/>
              </w:rPr>
            </w:pPr>
            <w:r>
              <w:rPr>
                <w:rFonts w:ascii="Arial" w:hAnsi="Arial" w:cs="Arial"/>
                <w:sz w:val="16"/>
                <w:szCs w:val="16"/>
              </w:rPr>
              <w:t xml:space="preserve">30 </w:t>
            </w:r>
          </w:p>
        </w:tc>
        <w:tc>
          <w:tcPr>
            <w:tcW w:w="1000" w:type="dxa"/>
            <w:tcBorders>
              <w:top w:val="nil"/>
              <w:left w:val="nil"/>
              <w:bottom w:val="nil"/>
              <w:right w:val="nil"/>
            </w:tcBorders>
            <w:noWrap/>
            <w:vAlign w:val="center"/>
            <w:hideMark/>
          </w:tcPr>
          <w:p w14:paraId="1A8026DE" w14:textId="77777777" w:rsidR="00B77871" w:rsidRDefault="00B77871">
            <w:pPr>
              <w:jc w:val="right"/>
              <w:rPr>
                <w:rFonts w:ascii="Arial" w:hAnsi="Arial" w:cs="Arial"/>
                <w:sz w:val="16"/>
                <w:szCs w:val="16"/>
              </w:rPr>
            </w:pPr>
            <w:r>
              <w:rPr>
                <w:rFonts w:ascii="Arial" w:hAnsi="Arial" w:cs="Arial"/>
                <w:sz w:val="16"/>
                <w:szCs w:val="16"/>
              </w:rPr>
              <w:t xml:space="preserve">30 </w:t>
            </w:r>
          </w:p>
        </w:tc>
        <w:tc>
          <w:tcPr>
            <w:tcW w:w="1000" w:type="dxa"/>
            <w:tcBorders>
              <w:top w:val="nil"/>
              <w:left w:val="nil"/>
              <w:bottom w:val="nil"/>
              <w:right w:val="nil"/>
            </w:tcBorders>
            <w:noWrap/>
            <w:vAlign w:val="center"/>
            <w:hideMark/>
          </w:tcPr>
          <w:p w14:paraId="415FC24E" w14:textId="77777777" w:rsidR="00B77871" w:rsidRDefault="00B77871">
            <w:pPr>
              <w:jc w:val="right"/>
              <w:rPr>
                <w:rFonts w:ascii="Arial" w:hAnsi="Arial" w:cs="Arial"/>
                <w:sz w:val="16"/>
                <w:szCs w:val="16"/>
              </w:rPr>
            </w:pPr>
            <w:r>
              <w:rPr>
                <w:rFonts w:ascii="Arial" w:hAnsi="Arial" w:cs="Arial"/>
                <w:sz w:val="16"/>
                <w:szCs w:val="16"/>
              </w:rPr>
              <w:t xml:space="preserve">31 </w:t>
            </w:r>
          </w:p>
        </w:tc>
        <w:tc>
          <w:tcPr>
            <w:tcW w:w="1000" w:type="dxa"/>
            <w:tcBorders>
              <w:top w:val="nil"/>
              <w:left w:val="nil"/>
              <w:bottom w:val="nil"/>
              <w:right w:val="nil"/>
            </w:tcBorders>
            <w:noWrap/>
            <w:vAlign w:val="center"/>
            <w:hideMark/>
          </w:tcPr>
          <w:p w14:paraId="11ADF1E5" w14:textId="77777777" w:rsidR="00B77871" w:rsidRDefault="00B77871">
            <w:pPr>
              <w:jc w:val="right"/>
              <w:rPr>
                <w:rFonts w:ascii="Arial" w:hAnsi="Arial" w:cs="Arial"/>
                <w:sz w:val="16"/>
                <w:szCs w:val="16"/>
              </w:rPr>
            </w:pPr>
            <w:r>
              <w:rPr>
                <w:rFonts w:ascii="Arial" w:hAnsi="Arial" w:cs="Arial"/>
                <w:sz w:val="16"/>
                <w:szCs w:val="16"/>
              </w:rPr>
              <w:t xml:space="preserve">32 </w:t>
            </w:r>
          </w:p>
        </w:tc>
        <w:tc>
          <w:tcPr>
            <w:tcW w:w="1000" w:type="dxa"/>
            <w:tcBorders>
              <w:top w:val="nil"/>
              <w:left w:val="nil"/>
              <w:bottom w:val="nil"/>
              <w:right w:val="nil"/>
            </w:tcBorders>
            <w:noWrap/>
            <w:vAlign w:val="center"/>
            <w:hideMark/>
          </w:tcPr>
          <w:p w14:paraId="5925A393" w14:textId="77777777" w:rsidR="00B77871" w:rsidRDefault="00B77871">
            <w:pPr>
              <w:jc w:val="right"/>
              <w:rPr>
                <w:rFonts w:ascii="Arial" w:hAnsi="Arial" w:cs="Arial"/>
                <w:sz w:val="16"/>
                <w:szCs w:val="16"/>
              </w:rPr>
            </w:pPr>
            <w:r>
              <w:rPr>
                <w:rFonts w:ascii="Arial" w:hAnsi="Arial" w:cs="Arial"/>
                <w:sz w:val="16"/>
                <w:szCs w:val="16"/>
              </w:rPr>
              <w:t xml:space="preserve">32 </w:t>
            </w:r>
          </w:p>
        </w:tc>
      </w:tr>
      <w:tr w:rsidR="00B77871" w14:paraId="1578AF03" w14:textId="77777777" w:rsidTr="00DC6838">
        <w:trPr>
          <w:trHeight w:val="200"/>
        </w:trPr>
        <w:tc>
          <w:tcPr>
            <w:tcW w:w="4980" w:type="dxa"/>
            <w:tcBorders>
              <w:top w:val="nil"/>
              <w:left w:val="nil"/>
              <w:bottom w:val="nil"/>
              <w:right w:val="nil"/>
            </w:tcBorders>
            <w:noWrap/>
            <w:vAlign w:val="center"/>
            <w:hideMark/>
          </w:tcPr>
          <w:p w14:paraId="0A310702" w14:textId="77777777" w:rsidR="00B77871" w:rsidRDefault="00B77871">
            <w:pPr>
              <w:rPr>
                <w:rFonts w:ascii="Arial" w:hAnsi="Arial" w:cs="Arial"/>
                <w:sz w:val="16"/>
                <w:szCs w:val="16"/>
              </w:rPr>
            </w:pPr>
            <w:r>
              <w:rPr>
                <w:rFonts w:ascii="Arial" w:hAnsi="Arial" w:cs="Arial"/>
                <w:sz w:val="16"/>
                <w:szCs w:val="16"/>
              </w:rPr>
              <w:t>Provisions sur charges</w:t>
            </w:r>
          </w:p>
        </w:tc>
        <w:tc>
          <w:tcPr>
            <w:tcW w:w="185" w:type="dxa"/>
            <w:tcBorders>
              <w:top w:val="nil"/>
              <w:left w:val="nil"/>
              <w:bottom w:val="nil"/>
              <w:right w:val="nil"/>
            </w:tcBorders>
            <w:noWrap/>
            <w:vAlign w:val="center"/>
            <w:hideMark/>
          </w:tcPr>
          <w:p w14:paraId="15E68C67"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48A5197E" w14:textId="77777777" w:rsidR="00B77871" w:rsidRDefault="00B77871">
            <w:pPr>
              <w:jc w:val="right"/>
              <w:rPr>
                <w:rFonts w:ascii="Arial" w:hAnsi="Arial" w:cs="Arial"/>
                <w:sz w:val="16"/>
                <w:szCs w:val="16"/>
              </w:rPr>
            </w:pPr>
            <w:r>
              <w:rPr>
                <w:rFonts w:ascii="Arial" w:hAnsi="Arial" w:cs="Arial"/>
                <w:sz w:val="16"/>
                <w:szCs w:val="16"/>
              </w:rPr>
              <w:t xml:space="preserve">1 </w:t>
            </w:r>
          </w:p>
        </w:tc>
        <w:tc>
          <w:tcPr>
            <w:tcW w:w="1000" w:type="dxa"/>
            <w:tcBorders>
              <w:top w:val="nil"/>
              <w:left w:val="nil"/>
              <w:bottom w:val="nil"/>
              <w:right w:val="nil"/>
            </w:tcBorders>
            <w:noWrap/>
            <w:vAlign w:val="center"/>
            <w:hideMark/>
          </w:tcPr>
          <w:p w14:paraId="00CFDAF5" w14:textId="77777777" w:rsidR="00B77871" w:rsidRDefault="00B77871">
            <w:pPr>
              <w:jc w:val="right"/>
              <w:rPr>
                <w:rFonts w:ascii="Arial" w:hAnsi="Arial" w:cs="Arial"/>
                <w:sz w:val="16"/>
                <w:szCs w:val="16"/>
              </w:rPr>
            </w:pPr>
            <w:r>
              <w:rPr>
                <w:rFonts w:ascii="Arial" w:hAnsi="Arial" w:cs="Arial"/>
                <w:sz w:val="16"/>
                <w:szCs w:val="16"/>
              </w:rPr>
              <w:t xml:space="preserve">1 </w:t>
            </w:r>
          </w:p>
        </w:tc>
        <w:tc>
          <w:tcPr>
            <w:tcW w:w="1000" w:type="dxa"/>
            <w:tcBorders>
              <w:top w:val="nil"/>
              <w:left w:val="nil"/>
              <w:bottom w:val="nil"/>
              <w:right w:val="nil"/>
            </w:tcBorders>
            <w:noWrap/>
            <w:vAlign w:val="center"/>
            <w:hideMark/>
          </w:tcPr>
          <w:p w14:paraId="410F96DC" w14:textId="77777777" w:rsidR="00B77871" w:rsidRDefault="00B77871">
            <w:pPr>
              <w:jc w:val="right"/>
              <w:rPr>
                <w:rFonts w:ascii="Arial" w:hAnsi="Arial" w:cs="Arial"/>
                <w:sz w:val="16"/>
                <w:szCs w:val="16"/>
              </w:rPr>
            </w:pPr>
            <w:r>
              <w:rPr>
                <w:rFonts w:ascii="Arial" w:hAnsi="Arial" w:cs="Arial"/>
                <w:sz w:val="16"/>
                <w:szCs w:val="16"/>
              </w:rPr>
              <w:t xml:space="preserve">1 </w:t>
            </w:r>
          </w:p>
        </w:tc>
        <w:tc>
          <w:tcPr>
            <w:tcW w:w="1000" w:type="dxa"/>
            <w:tcBorders>
              <w:top w:val="nil"/>
              <w:left w:val="nil"/>
              <w:bottom w:val="nil"/>
              <w:right w:val="nil"/>
            </w:tcBorders>
            <w:noWrap/>
            <w:vAlign w:val="center"/>
            <w:hideMark/>
          </w:tcPr>
          <w:p w14:paraId="0E1B560F" w14:textId="77777777" w:rsidR="00B77871" w:rsidRDefault="00B77871">
            <w:pPr>
              <w:jc w:val="right"/>
              <w:rPr>
                <w:rFonts w:ascii="Arial" w:hAnsi="Arial" w:cs="Arial"/>
                <w:sz w:val="16"/>
                <w:szCs w:val="16"/>
              </w:rPr>
            </w:pPr>
            <w:r>
              <w:rPr>
                <w:rFonts w:ascii="Arial" w:hAnsi="Arial" w:cs="Arial"/>
                <w:sz w:val="16"/>
                <w:szCs w:val="16"/>
              </w:rPr>
              <w:t xml:space="preserve">1 </w:t>
            </w:r>
          </w:p>
        </w:tc>
        <w:tc>
          <w:tcPr>
            <w:tcW w:w="1000" w:type="dxa"/>
            <w:tcBorders>
              <w:top w:val="nil"/>
              <w:left w:val="nil"/>
              <w:bottom w:val="nil"/>
              <w:right w:val="nil"/>
            </w:tcBorders>
            <w:noWrap/>
            <w:vAlign w:val="center"/>
            <w:hideMark/>
          </w:tcPr>
          <w:p w14:paraId="49C13E1D" w14:textId="77777777" w:rsidR="00B77871" w:rsidRDefault="00B77871">
            <w:pPr>
              <w:jc w:val="right"/>
              <w:rPr>
                <w:rFonts w:ascii="Arial" w:hAnsi="Arial" w:cs="Arial"/>
                <w:sz w:val="16"/>
                <w:szCs w:val="16"/>
              </w:rPr>
            </w:pPr>
            <w:r>
              <w:rPr>
                <w:rFonts w:ascii="Arial" w:hAnsi="Arial" w:cs="Arial"/>
                <w:sz w:val="16"/>
                <w:szCs w:val="16"/>
              </w:rPr>
              <w:t xml:space="preserve">1 </w:t>
            </w:r>
          </w:p>
        </w:tc>
      </w:tr>
      <w:tr w:rsidR="00B77871" w14:paraId="2524247A" w14:textId="77777777" w:rsidTr="00DC6838">
        <w:trPr>
          <w:trHeight w:val="200"/>
        </w:trPr>
        <w:tc>
          <w:tcPr>
            <w:tcW w:w="4980" w:type="dxa"/>
            <w:tcBorders>
              <w:top w:val="nil"/>
              <w:left w:val="nil"/>
              <w:bottom w:val="nil"/>
              <w:right w:val="nil"/>
            </w:tcBorders>
            <w:noWrap/>
            <w:vAlign w:val="center"/>
            <w:hideMark/>
          </w:tcPr>
          <w:p w14:paraId="51DEBCB6" w14:textId="77777777" w:rsidR="00B77871" w:rsidRDefault="00B77871">
            <w:pPr>
              <w:rPr>
                <w:rFonts w:ascii="Arial" w:hAnsi="Arial" w:cs="Arial"/>
                <w:sz w:val="16"/>
                <w:szCs w:val="16"/>
              </w:rPr>
            </w:pPr>
            <w:r>
              <w:rPr>
                <w:rFonts w:ascii="Arial" w:hAnsi="Arial" w:cs="Arial"/>
                <w:sz w:val="16"/>
                <w:szCs w:val="16"/>
              </w:rPr>
              <w:t>Revenus Airbnb</w:t>
            </w:r>
          </w:p>
        </w:tc>
        <w:tc>
          <w:tcPr>
            <w:tcW w:w="185" w:type="dxa"/>
            <w:tcBorders>
              <w:top w:val="nil"/>
              <w:left w:val="nil"/>
              <w:bottom w:val="nil"/>
              <w:right w:val="nil"/>
            </w:tcBorders>
            <w:noWrap/>
            <w:vAlign w:val="center"/>
            <w:hideMark/>
          </w:tcPr>
          <w:p w14:paraId="68FA7BEA"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6C70AC20"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9884BF3"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CD67ABA"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B2EF60F"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3A251AD"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5CBE12F7" w14:textId="77777777" w:rsidTr="00DC6838">
        <w:trPr>
          <w:trHeight w:val="200"/>
        </w:trPr>
        <w:tc>
          <w:tcPr>
            <w:tcW w:w="4980" w:type="dxa"/>
            <w:tcBorders>
              <w:top w:val="nil"/>
              <w:left w:val="nil"/>
              <w:bottom w:val="nil"/>
              <w:right w:val="nil"/>
            </w:tcBorders>
            <w:noWrap/>
            <w:vAlign w:val="center"/>
            <w:hideMark/>
          </w:tcPr>
          <w:p w14:paraId="769832DC" w14:textId="77777777" w:rsidR="00B77871" w:rsidRDefault="00B77871">
            <w:pPr>
              <w:rPr>
                <w:rFonts w:ascii="Arial" w:hAnsi="Arial" w:cs="Arial"/>
                <w:sz w:val="16"/>
                <w:szCs w:val="16"/>
              </w:rPr>
            </w:pPr>
            <w:r>
              <w:rPr>
                <w:rFonts w:ascii="Arial" w:hAnsi="Arial" w:cs="Arial"/>
                <w:sz w:val="16"/>
                <w:szCs w:val="16"/>
              </w:rPr>
              <w:t>Revenus Hôtels</w:t>
            </w:r>
          </w:p>
        </w:tc>
        <w:tc>
          <w:tcPr>
            <w:tcW w:w="185" w:type="dxa"/>
            <w:tcBorders>
              <w:top w:val="nil"/>
              <w:left w:val="nil"/>
              <w:bottom w:val="nil"/>
              <w:right w:val="nil"/>
            </w:tcBorders>
            <w:noWrap/>
            <w:vAlign w:val="center"/>
            <w:hideMark/>
          </w:tcPr>
          <w:p w14:paraId="47E41A42"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14D02507"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10294939"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1AEAD4B8"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DEF557C"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1AF4A32"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69C9B0D0" w14:textId="77777777" w:rsidTr="00DC6838">
        <w:trPr>
          <w:trHeight w:val="200"/>
        </w:trPr>
        <w:tc>
          <w:tcPr>
            <w:tcW w:w="4980" w:type="dxa"/>
            <w:tcBorders>
              <w:top w:val="nil"/>
              <w:left w:val="nil"/>
              <w:bottom w:val="nil"/>
              <w:right w:val="nil"/>
            </w:tcBorders>
            <w:noWrap/>
            <w:vAlign w:val="center"/>
            <w:hideMark/>
          </w:tcPr>
          <w:p w14:paraId="02EA6D6B" w14:textId="77777777" w:rsidR="00B77871" w:rsidRDefault="00B77871">
            <w:pPr>
              <w:rPr>
                <w:rFonts w:ascii="Arial" w:hAnsi="Arial" w:cs="Arial"/>
                <w:sz w:val="16"/>
                <w:szCs w:val="16"/>
              </w:rPr>
            </w:pPr>
            <w:r>
              <w:rPr>
                <w:rFonts w:ascii="Arial" w:hAnsi="Arial" w:cs="Arial"/>
                <w:sz w:val="16"/>
                <w:szCs w:val="16"/>
              </w:rPr>
              <w:t xml:space="preserve">Management </w:t>
            </w:r>
            <w:proofErr w:type="spellStart"/>
            <w:r>
              <w:rPr>
                <w:rFonts w:ascii="Arial" w:hAnsi="Arial" w:cs="Arial"/>
                <w:sz w:val="16"/>
                <w:szCs w:val="16"/>
              </w:rPr>
              <w:t>fees</w:t>
            </w:r>
            <w:proofErr w:type="spellEnd"/>
            <w:r>
              <w:rPr>
                <w:rFonts w:ascii="Arial" w:hAnsi="Arial" w:cs="Arial"/>
                <w:sz w:val="16"/>
                <w:szCs w:val="16"/>
              </w:rPr>
              <w:t xml:space="preserve"> refacturés par HFI encaissés</w:t>
            </w:r>
          </w:p>
        </w:tc>
        <w:tc>
          <w:tcPr>
            <w:tcW w:w="185" w:type="dxa"/>
            <w:tcBorders>
              <w:top w:val="nil"/>
              <w:left w:val="nil"/>
              <w:bottom w:val="nil"/>
              <w:right w:val="nil"/>
            </w:tcBorders>
            <w:noWrap/>
            <w:vAlign w:val="center"/>
            <w:hideMark/>
          </w:tcPr>
          <w:p w14:paraId="7674539F"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67B8EBFB"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C41D845"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512B1F9"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9426E4D"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48E7FCE"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72577283" w14:textId="77777777" w:rsidTr="00DC6838">
        <w:trPr>
          <w:trHeight w:val="108"/>
        </w:trPr>
        <w:tc>
          <w:tcPr>
            <w:tcW w:w="4980" w:type="dxa"/>
            <w:tcBorders>
              <w:top w:val="nil"/>
              <w:left w:val="nil"/>
              <w:bottom w:val="nil"/>
              <w:right w:val="nil"/>
            </w:tcBorders>
            <w:noWrap/>
            <w:vAlign w:val="center"/>
            <w:hideMark/>
          </w:tcPr>
          <w:p w14:paraId="7991177E" w14:textId="77777777" w:rsidR="00B77871" w:rsidRDefault="00B77871">
            <w:pPr>
              <w:jc w:val="right"/>
              <w:rPr>
                <w:rFonts w:ascii="Arial" w:hAnsi="Arial" w:cs="Arial"/>
                <w:sz w:val="16"/>
                <w:szCs w:val="16"/>
              </w:rPr>
            </w:pPr>
          </w:p>
        </w:tc>
        <w:tc>
          <w:tcPr>
            <w:tcW w:w="185" w:type="dxa"/>
            <w:tcBorders>
              <w:top w:val="nil"/>
              <w:left w:val="nil"/>
              <w:bottom w:val="nil"/>
              <w:right w:val="nil"/>
            </w:tcBorders>
            <w:noWrap/>
            <w:vAlign w:val="center"/>
            <w:hideMark/>
          </w:tcPr>
          <w:p w14:paraId="4E3F273F" w14:textId="77777777" w:rsidR="00B77871" w:rsidRDefault="00B77871">
            <w:pPr>
              <w:rPr>
                <w:sz w:val="20"/>
                <w:szCs w:val="20"/>
              </w:rPr>
            </w:pPr>
          </w:p>
        </w:tc>
        <w:tc>
          <w:tcPr>
            <w:tcW w:w="1000" w:type="dxa"/>
            <w:tcBorders>
              <w:top w:val="nil"/>
              <w:left w:val="nil"/>
              <w:bottom w:val="nil"/>
              <w:right w:val="nil"/>
            </w:tcBorders>
            <w:noWrap/>
            <w:vAlign w:val="center"/>
            <w:hideMark/>
          </w:tcPr>
          <w:p w14:paraId="67D17A12"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6A44EABD"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70EE4B92"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00D603FF"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2D640D1A" w14:textId="77777777" w:rsidR="00B77871" w:rsidRDefault="00B77871">
            <w:pPr>
              <w:jc w:val="right"/>
              <w:rPr>
                <w:sz w:val="20"/>
                <w:szCs w:val="20"/>
              </w:rPr>
            </w:pPr>
          </w:p>
        </w:tc>
      </w:tr>
      <w:tr w:rsidR="00B77871" w14:paraId="738033D4" w14:textId="77777777" w:rsidTr="00DC6838">
        <w:trPr>
          <w:trHeight w:val="210"/>
        </w:trPr>
        <w:tc>
          <w:tcPr>
            <w:tcW w:w="4980" w:type="dxa"/>
            <w:tcBorders>
              <w:top w:val="single" w:sz="4" w:space="0" w:color="7F7F7F"/>
              <w:left w:val="nil"/>
              <w:bottom w:val="nil"/>
              <w:right w:val="nil"/>
            </w:tcBorders>
            <w:noWrap/>
            <w:vAlign w:val="center"/>
            <w:hideMark/>
          </w:tcPr>
          <w:p w14:paraId="1FD10FA7" w14:textId="77777777" w:rsidR="00B77871" w:rsidRDefault="00B77871">
            <w:pPr>
              <w:rPr>
                <w:rFonts w:ascii="Arial" w:hAnsi="Arial" w:cs="Arial"/>
                <w:b/>
                <w:bCs/>
                <w:color w:val="000000"/>
                <w:sz w:val="16"/>
                <w:szCs w:val="16"/>
              </w:rPr>
            </w:pPr>
            <w:r>
              <w:rPr>
                <w:rFonts w:ascii="Arial" w:hAnsi="Arial" w:cs="Arial"/>
                <w:b/>
                <w:bCs/>
                <w:color w:val="000000"/>
                <w:sz w:val="16"/>
                <w:szCs w:val="16"/>
              </w:rPr>
              <w:t>Encaissements</w:t>
            </w:r>
          </w:p>
        </w:tc>
        <w:tc>
          <w:tcPr>
            <w:tcW w:w="185" w:type="dxa"/>
            <w:tcBorders>
              <w:top w:val="single" w:sz="4" w:space="0" w:color="7F7F7F"/>
              <w:left w:val="nil"/>
              <w:bottom w:val="nil"/>
              <w:right w:val="nil"/>
            </w:tcBorders>
            <w:noWrap/>
            <w:vAlign w:val="center"/>
            <w:hideMark/>
          </w:tcPr>
          <w:p w14:paraId="325245DF"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nil"/>
              <w:right w:val="nil"/>
            </w:tcBorders>
            <w:noWrap/>
            <w:vAlign w:val="center"/>
            <w:hideMark/>
          </w:tcPr>
          <w:p w14:paraId="194F4B70"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31 </w:t>
            </w:r>
          </w:p>
        </w:tc>
        <w:tc>
          <w:tcPr>
            <w:tcW w:w="1000" w:type="dxa"/>
            <w:tcBorders>
              <w:top w:val="single" w:sz="4" w:space="0" w:color="7F7F7F"/>
              <w:left w:val="nil"/>
              <w:bottom w:val="nil"/>
              <w:right w:val="nil"/>
            </w:tcBorders>
            <w:noWrap/>
            <w:vAlign w:val="center"/>
            <w:hideMark/>
          </w:tcPr>
          <w:p w14:paraId="120DCFD9"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32 </w:t>
            </w:r>
          </w:p>
        </w:tc>
        <w:tc>
          <w:tcPr>
            <w:tcW w:w="1000" w:type="dxa"/>
            <w:tcBorders>
              <w:top w:val="single" w:sz="4" w:space="0" w:color="7F7F7F"/>
              <w:left w:val="nil"/>
              <w:bottom w:val="nil"/>
              <w:right w:val="nil"/>
            </w:tcBorders>
            <w:noWrap/>
            <w:vAlign w:val="center"/>
            <w:hideMark/>
          </w:tcPr>
          <w:p w14:paraId="36EB683D"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32 </w:t>
            </w:r>
          </w:p>
        </w:tc>
        <w:tc>
          <w:tcPr>
            <w:tcW w:w="1000" w:type="dxa"/>
            <w:tcBorders>
              <w:top w:val="single" w:sz="4" w:space="0" w:color="7F7F7F"/>
              <w:left w:val="nil"/>
              <w:bottom w:val="nil"/>
              <w:right w:val="nil"/>
            </w:tcBorders>
            <w:noWrap/>
            <w:vAlign w:val="center"/>
            <w:hideMark/>
          </w:tcPr>
          <w:p w14:paraId="000AACAD"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33 </w:t>
            </w:r>
          </w:p>
        </w:tc>
        <w:tc>
          <w:tcPr>
            <w:tcW w:w="1000" w:type="dxa"/>
            <w:tcBorders>
              <w:top w:val="single" w:sz="4" w:space="0" w:color="7F7F7F"/>
              <w:left w:val="nil"/>
              <w:bottom w:val="nil"/>
              <w:right w:val="nil"/>
            </w:tcBorders>
            <w:noWrap/>
            <w:vAlign w:val="center"/>
            <w:hideMark/>
          </w:tcPr>
          <w:p w14:paraId="348F2B63"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34 </w:t>
            </w:r>
          </w:p>
        </w:tc>
      </w:tr>
      <w:tr w:rsidR="00B77871" w14:paraId="009D73D4" w14:textId="77777777" w:rsidTr="00DC6838">
        <w:trPr>
          <w:trHeight w:val="108"/>
        </w:trPr>
        <w:tc>
          <w:tcPr>
            <w:tcW w:w="4980" w:type="dxa"/>
            <w:tcBorders>
              <w:top w:val="nil"/>
              <w:left w:val="nil"/>
              <w:bottom w:val="nil"/>
              <w:right w:val="nil"/>
            </w:tcBorders>
            <w:noWrap/>
            <w:vAlign w:val="center"/>
            <w:hideMark/>
          </w:tcPr>
          <w:p w14:paraId="185142B4" w14:textId="77777777" w:rsidR="00B77871" w:rsidRDefault="00B7787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0078C272" w14:textId="77777777" w:rsidR="00B77871" w:rsidRDefault="00B77871">
            <w:pPr>
              <w:rPr>
                <w:sz w:val="20"/>
                <w:szCs w:val="20"/>
              </w:rPr>
            </w:pPr>
          </w:p>
        </w:tc>
        <w:tc>
          <w:tcPr>
            <w:tcW w:w="1000" w:type="dxa"/>
            <w:tcBorders>
              <w:top w:val="nil"/>
              <w:left w:val="nil"/>
              <w:bottom w:val="nil"/>
              <w:right w:val="nil"/>
            </w:tcBorders>
            <w:noWrap/>
            <w:vAlign w:val="center"/>
            <w:hideMark/>
          </w:tcPr>
          <w:p w14:paraId="33C834BB" w14:textId="77777777" w:rsidR="00B77871" w:rsidRDefault="00B77871">
            <w:pPr>
              <w:rPr>
                <w:sz w:val="20"/>
                <w:szCs w:val="20"/>
              </w:rPr>
            </w:pPr>
          </w:p>
        </w:tc>
        <w:tc>
          <w:tcPr>
            <w:tcW w:w="1000" w:type="dxa"/>
            <w:tcBorders>
              <w:top w:val="nil"/>
              <w:left w:val="nil"/>
              <w:bottom w:val="nil"/>
              <w:right w:val="nil"/>
            </w:tcBorders>
            <w:noWrap/>
            <w:vAlign w:val="center"/>
            <w:hideMark/>
          </w:tcPr>
          <w:p w14:paraId="229BAEF2"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4993440E"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31A6AFE1"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62B6245A" w14:textId="77777777" w:rsidR="00B77871" w:rsidRDefault="00B77871">
            <w:pPr>
              <w:jc w:val="right"/>
              <w:rPr>
                <w:sz w:val="20"/>
                <w:szCs w:val="20"/>
              </w:rPr>
            </w:pPr>
          </w:p>
        </w:tc>
      </w:tr>
      <w:tr w:rsidR="00B77871" w14:paraId="79E41988" w14:textId="77777777" w:rsidTr="00DC6838">
        <w:trPr>
          <w:trHeight w:val="200"/>
        </w:trPr>
        <w:tc>
          <w:tcPr>
            <w:tcW w:w="4980" w:type="dxa"/>
            <w:tcBorders>
              <w:top w:val="nil"/>
              <w:left w:val="nil"/>
              <w:bottom w:val="nil"/>
              <w:right w:val="nil"/>
            </w:tcBorders>
            <w:noWrap/>
            <w:vAlign w:val="center"/>
            <w:hideMark/>
          </w:tcPr>
          <w:p w14:paraId="33714B68" w14:textId="77777777" w:rsidR="00B77871" w:rsidRDefault="00B77871">
            <w:pPr>
              <w:rPr>
                <w:rFonts w:ascii="Arial" w:hAnsi="Arial" w:cs="Arial"/>
                <w:sz w:val="16"/>
                <w:szCs w:val="16"/>
              </w:rPr>
            </w:pPr>
            <w:r>
              <w:rPr>
                <w:rFonts w:ascii="Arial" w:hAnsi="Arial" w:cs="Arial"/>
                <w:sz w:val="16"/>
                <w:szCs w:val="16"/>
              </w:rPr>
              <w:t>Commissions</w:t>
            </w:r>
          </w:p>
        </w:tc>
        <w:tc>
          <w:tcPr>
            <w:tcW w:w="185" w:type="dxa"/>
            <w:tcBorders>
              <w:top w:val="nil"/>
              <w:left w:val="nil"/>
              <w:bottom w:val="nil"/>
              <w:right w:val="nil"/>
            </w:tcBorders>
            <w:noWrap/>
            <w:vAlign w:val="center"/>
            <w:hideMark/>
          </w:tcPr>
          <w:p w14:paraId="1C66A1E3"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285D3CEC"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1BF6F574"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C331873"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F3DE9E6"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543175E"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11845327" w14:textId="77777777" w:rsidTr="00DC6838">
        <w:trPr>
          <w:trHeight w:val="200"/>
        </w:trPr>
        <w:tc>
          <w:tcPr>
            <w:tcW w:w="4980" w:type="dxa"/>
            <w:tcBorders>
              <w:top w:val="nil"/>
              <w:left w:val="nil"/>
              <w:bottom w:val="nil"/>
              <w:right w:val="nil"/>
            </w:tcBorders>
            <w:noWrap/>
            <w:vAlign w:val="center"/>
            <w:hideMark/>
          </w:tcPr>
          <w:p w14:paraId="3EB472F0" w14:textId="77777777" w:rsidR="00B77871" w:rsidRDefault="00B77871">
            <w:pPr>
              <w:rPr>
                <w:rFonts w:ascii="Arial" w:hAnsi="Arial" w:cs="Arial"/>
                <w:sz w:val="16"/>
                <w:szCs w:val="16"/>
              </w:rPr>
            </w:pPr>
            <w:r>
              <w:rPr>
                <w:rFonts w:ascii="Arial" w:hAnsi="Arial" w:cs="Arial"/>
                <w:sz w:val="16"/>
                <w:szCs w:val="16"/>
              </w:rPr>
              <w:t>Commissions - Conciergerie (internalisation)</w:t>
            </w:r>
          </w:p>
        </w:tc>
        <w:tc>
          <w:tcPr>
            <w:tcW w:w="185" w:type="dxa"/>
            <w:tcBorders>
              <w:top w:val="nil"/>
              <w:left w:val="nil"/>
              <w:bottom w:val="nil"/>
              <w:right w:val="nil"/>
            </w:tcBorders>
            <w:noWrap/>
            <w:vAlign w:val="center"/>
            <w:hideMark/>
          </w:tcPr>
          <w:p w14:paraId="2BAA36D5"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3C065475"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9E2E67E"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0B14F61"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D3F33BF"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CB11BCC"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2CA1CFF3" w14:textId="77777777" w:rsidTr="00DC6838">
        <w:trPr>
          <w:trHeight w:val="200"/>
        </w:trPr>
        <w:tc>
          <w:tcPr>
            <w:tcW w:w="4980" w:type="dxa"/>
            <w:tcBorders>
              <w:top w:val="nil"/>
              <w:left w:val="nil"/>
              <w:bottom w:val="nil"/>
              <w:right w:val="nil"/>
            </w:tcBorders>
            <w:noWrap/>
            <w:vAlign w:val="center"/>
            <w:hideMark/>
          </w:tcPr>
          <w:p w14:paraId="1C76C42E" w14:textId="77777777" w:rsidR="00B77871" w:rsidRDefault="00B77871">
            <w:pPr>
              <w:rPr>
                <w:rFonts w:ascii="Arial" w:hAnsi="Arial" w:cs="Arial"/>
                <w:sz w:val="16"/>
                <w:szCs w:val="16"/>
              </w:rPr>
            </w:pPr>
            <w:r>
              <w:rPr>
                <w:rFonts w:ascii="Arial" w:hAnsi="Arial" w:cs="Arial"/>
                <w:sz w:val="16"/>
                <w:szCs w:val="16"/>
              </w:rPr>
              <w:t>Maintenance</w:t>
            </w:r>
          </w:p>
        </w:tc>
        <w:tc>
          <w:tcPr>
            <w:tcW w:w="185" w:type="dxa"/>
            <w:tcBorders>
              <w:top w:val="nil"/>
              <w:left w:val="nil"/>
              <w:bottom w:val="nil"/>
              <w:right w:val="nil"/>
            </w:tcBorders>
            <w:noWrap/>
            <w:vAlign w:val="center"/>
            <w:hideMark/>
          </w:tcPr>
          <w:p w14:paraId="1350D75B"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1F626BD8"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1DCFF046"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4D4166C0"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610FABDD"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31412E81" w14:textId="77777777" w:rsidR="00B77871" w:rsidRDefault="00B77871">
            <w:pPr>
              <w:jc w:val="right"/>
              <w:rPr>
                <w:rFonts w:ascii="Arial" w:hAnsi="Arial" w:cs="Arial"/>
                <w:sz w:val="16"/>
                <w:szCs w:val="16"/>
              </w:rPr>
            </w:pPr>
            <w:r>
              <w:rPr>
                <w:rFonts w:ascii="Arial" w:hAnsi="Arial" w:cs="Arial"/>
                <w:sz w:val="16"/>
                <w:szCs w:val="16"/>
              </w:rPr>
              <w:t>(2)</w:t>
            </w:r>
          </w:p>
        </w:tc>
      </w:tr>
      <w:tr w:rsidR="00B77871" w14:paraId="0AE2D3A2" w14:textId="77777777" w:rsidTr="00DC6838">
        <w:trPr>
          <w:trHeight w:val="200"/>
        </w:trPr>
        <w:tc>
          <w:tcPr>
            <w:tcW w:w="4980" w:type="dxa"/>
            <w:tcBorders>
              <w:top w:val="nil"/>
              <w:left w:val="nil"/>
              <w:bottom w:val="nil"/>
              <w:right w:val="nil"/>
            </w:tcBorders>
            <w:noWrap/>
            <w:vAlign w:val="center"/>
            <w:hideMark/>
          </w:tcPr>
          <w:p w14:paraId="56B362E2" w14:textId="77777777" w:rsidR="00B77871" w:rsidRDefault="00B77871">
            <w:pPr>
              <w:rPr>
                <w:rFonts w:ascii="Arial" w:hAnsi="Arial" w:cs="Arial"/>
                <w:sz w:val="16"/>
                <w:szCs w:val="16"/>
              </w:rPr>
            </w:pPr>
            <w:r>
              <w:rPr>
                <w:rFonts w:ascii="Arial" w:hAnsi="Arial" w:cs="Arial"/>
                <w:sz w:val="16"/>
                <w:szCs w:val="16"/>
              </w:rPr>
              <w:t>Honoraires</w:t>
            </w:r>
          </w:p>
        </w:tc>
        <w:tc>
          <w:tcPr>
            <w:tcW w:w="185" w:type="dxa"/>
            <w:tcBorders>
              <w:top w:val="nil"/>
              <w:left w:val="nil"/>
              <w:bottom w:val="nil"/>
              <w:right w:val="nil"/>
            </w:tcBorders>
            <w:noWrap/>
            <w:vAlign w:val="center"/>
            <w:hideMark/>
          </w:tcPr>
          <w:p w14:paraId="3AE56E7D"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0ECC8AF4"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7FB6870"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2E27A8F"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584B30A"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ED56078"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72F1EB70" w14:textId="77777777" w:rsidTr="00DC6838">
        <w:trPr>
          <w:trHeight w:val="200"/>
        </w:trPr>
        <w:tc>
          <w:tcPr>
            <w:tcW w:w="4980" w:type="dxa"/>
            <w:tcBorders>
              <w:top w:val="nil"/>
              <w:left w:val="nil"/>
              <w:bottom w:val="nil"/>
              <w:right w:val="nil"/>
            </w:tcBorders>
            <w:noWrap/>
            <w:vAlign w:val="center"/>
            <w:hideMark/>
          </w:tcPr>
          <w:p w14:paraId="3ADDA107" w14:textId="77777777" w:rsidR="00B77871" w:rsidRDefault="00B77871">
            <w:pPr>
              <w:rPr>
                <w:rFonts w:ascii="Arial" w:hAnsi="Arial" w:cs="Arial"/>
                <w:sz w:val="16"/>
                <w:szCs w:val="16"/>
              </w:rPr>
            </w:pPr>
            <w:r>
              <w:rPr>
                <w:rFonts w:ascii="Arial" w:hAnsi="Arial" w:cs="Arial"/>
                <w:sz w:val="16"/>
                <w:szCs w:val="16"/>
              </w:rPr>
              <w:t>Autres frais généraux</w:t>
            </w:r>
          </w:p>
        </w:tc>
        <w:tc>
          <w:tcPr>
            <w:tcW w:w="185" w:type="dxa"/>
            <w:tcBorders>
              <w:top w:val="nil"/>
              <w:left w:val="nil"/>
              <w:bottom w:val="nil"/>
              <w:right w:val="nil"/>
            </w:tcBorders>
            <w:noWrap/>
            <w:vAlign w:val="center"/>
            <w:hideMark/>
          </w:tcPr>
          <w:p w14:paraId="637765B4"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76859443" w14:textId="77777777" w:rsidR="00B77871" w:rsidRDefault="00B77871">
            <w:pPr>
              <w:jc w:val="right"/>
              <w:rPr>
                <w:rFonts w:ascii="Arial" w:hAnsi="Arial" w:cs="Arial"/>
                <w:sz w:val="16"/>
                <w:szCs w:val="16"/>
              </w:rPr>
            </w:pPr>
            <w:r>
              <w:rPr>
                <w:rFonts w:ascii="Arial" w:hAnsi="Arial" w:cs="Arial"/>
                <w:sz w:val="16"/>
                <w:szCs w:val="16"/>
              </w:rPr>
              <w:t>(4)</w:t>
            </w:r>
          </w:p>
        </w:tc>
        <w:tc>
          <w:tcPr>
            <w:tcW w:w="1000" w:type="dxa"/>
            <w:tcBorders>
              <w:top w:val="nil"/>
              <w:left w:val="nil"/>
              <w:bottom w:val="nil"/>
              <w:right w:val="nil"/>
            </w:tcBorders>
            <w:noWrap/>
            <w:vAlign w:val="center"/>
            <w:hideMark/>
          </w:tcPr>
          <w:p w14:paraId="7D95C16D"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752A72CC"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7882F437"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52DFE8C7" w14:textId="77777777" w:rsidR="00B77871" w:rsidRDefault="00B77871">
            <w:pPr>
              <w:jc w:val="right"/>
              <w:rPr>
                <w:rFonts w:ascii="Arial" w:hAnsi="Arial" w:cs="Arial"/>
                <w:sz w:val="16"/>
                <w:szCs w:val="16"/>
              </w:rPr>
            </w:pPr>
            <w:r>
              <w:rPr>
                <w:rFonts w:ascii="Arial" w:hAnsi="Arial" w:cs="Arial"/>
                <w:sz w:val="16"/>
                <w:szCs w:val="16"/>
              </w:rPr>
              <w:t>(5)</w:t>
            </w:r>
          </w:p>
        </w:tc>
      </w:tr>
      <w:tr w:rsidR="00B77871" w14:paraId="39A817A9" w14:textId="77777777" w:rsidTr="00DC6838">
        <w:trPr>
          <w:trHeight w:val="200"/>
        </w:trPr>
        <w:tc>
          <w:tcPr>
            <w:tcW w:w="4980" w:type="dxa"/>
            <w:tcBorders>
              <w:top w:val="nil"/>
              <w:left w:val="nil"/>
              <w:bottom w:val="nil"/>
              <w:right w:val="nil"/>
            </w:tcBorders>
            <w:noWrap/>
            <w:vAlign w:val="center"/>
            <w:hideMark/>
          </w:tcPr>
          <w:p w14:paraId="45E21D06" w14:textId="77777777" w:rsidR="00B77871" w:rsidRDefault="00B77871">
            <w:pPr>
              <w:rPr>
                <w:rFonts w:ascii="Arial" w:hAnsi="Arial" w:cs="Arial"/>
                <w:sz w:val="16"/>
                <w:szCs w:val="16"/>
              </w:rPr>
            </w:pPr>
            <w:r>
              <w:rPr>
                <w:rFonts w:ascii="Arial" w:hAnsi="Arial" w:cs="Arial"/>
                <w:sz w:val="16"/>
                <w:szCs w:val="16"/>
              </w:rPr>
              <w:t>Frais de personnel</w:t>
            </w:r>
          </w:p>
        </w:tc>
        <w:tc>
          <w:tcPr>
            <w:tcW w:w="185" w:type="dxa"/>
            <w:tcBorders>
              <w:top w:val="nil"/>
              <w:left w:val="nil"/>
              <w:bottom w:val="nil"/>
              <w:right w:val="nil"/>
            </w:tcBorders>
            <w:noWrap/>
            <w:vAlign w:val="center"/>
            <w:hideMark/>
          </w:tcPr>
          <w:p w14:paraId="0E805A68"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6D18F87B"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201896E"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0023FD1"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156FC55"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11B26B0"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6D08E2B9" w14:textId="77777777" w:rsidTr="00DC6838">
        <w:trPr>
          <w:trHeight w:val="200"/>
        </w:trPr>
        <w:tc>
          <w:tcPr>
            <w:tcW w:w="4980" w:type="dxa"/>
            <w:tcBorders>
              <w:top w:val="nil"/>
              <w:left w:val="nil"/>
              <w:bottom w:val="nil"/>
              <w:right w:val="nil"/>
            </w:tcBorders>
            <w:noWrap/>
            <w:vAlign w:val="center"/>
            <w:hideMark/>
          </w:tcPr>
          <w:p w14:paraId="00A093A0" w14:textId="77777777" w:rsidR="00B77871" w:rsidRDefault="00B77871">
            <w:pPr>
              <w:rPr>
                <w:rFonts w:ascii="Arial" w:hAnsi="Arial" w:cs="Arial"/>
                <w:sz w:val="16"/>
                <w:szCs w:val="16"/>
              </w:rPr>
            </w:pPr>
            <w:r>
              <w:rPr>
                <w:rFonts w:ascii="Arial" w:hAnsi="Arial" w:cs="Arial"/>
                <w:sz w:val="16"/>
                <w:szCs w:val="16"/>
              </w:rPr>
              <w:t>Frais de personnel - Conciergerie (internalisation)</w:t>
            </w:r>
          </w:p>
        </w:tc>
        <w:tc>
          <w:tcPr>
            <w:tcW w:w="185" w:type="dxa"/>
            <w:tcBorders>
              <w:top w:val="nil"/>
              <w:left w:val="nil"/>
              <w:bottom w:val="nil"/>
              <w:right w:val="nil"/>
            </w:tcBorders>
            <w:noWrap/>
            <w:vAlign w:val="center"/>
            <w:hideMark/>
          </w:tcPr>
          <w:p w14:paraId="2B4C23D0"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2306AF5E"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2826F18"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0ECC7EA"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6BE5C96"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FF2B4A5"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2EB02C60" w14:textId="77777777" w:rsidTr="00DC6838">
        <w:trPr>
          <w:trHeight w:val="200"/>
        </w:trPr>
        <w:tc>
          <w:tcPr>
            <w:tcW w:w="4980" w:type="dxa"/>
            <w:tcBorders>
              <w:top w:val="nil"/>
              <w:left w:val="nil"/>
              <w:bottom w:val="nil"/>
              <w:right w:val="nil"/>
            </w:tcBorders>
            <w:noWrap/>
            <w:vAlign w:val="center"/>
            <w:hideMark/>
          </w:tcPr>
          <w:p w14:paraId="08EEC9AC" w14:textId="77777777" w:rsidR="00B77871" w:rsidRDefault="00B77871">
            <w:pPr>
              <w:rPr>
                <w:rFonts w:ascii="Arial" w:hAnsi="Arial" w:cs="Arial"/>
                <w:sz w:val="16"/>
                <w:szCs w:val="16"/>
              </w:rPr>
            </w:pPr>
            <w:r>
              <w:rPr>
                <w:rFonts w:ascii="Arial" w:hAnsi="Arial" w:cs="Arial"/>
                <w:sz w:val="16"/>
                <w:szCs w:val="16"/>
              </w:rPr>
              <w:t xml:space="preserve">Management </w:t>
            </w:r>
            <w:proofErr w:type="spellStart"/>
            <w:r>
              <w:rPr>
                <w:rFonts w:ascii="Arial" w:hAnsi="Arial" w:cs="Arial"/>
                <w:sz w:val="16"/>
                <w:szCs w:val="16"/>
              </w:rPr>
              <w:t>fees</w:t>
            </w:r>
            <w:proofErr w:type="spellEnd"/>
            <w:r>
              <w:rPr>
                <w:rFonts w:ascii="Arial" w:hAnsi="Arial" w:cs="Arial"/>
                <w:sz w:val="16"/>
                <w:szCs w:val="16"/>
              </w:rPr>
              <w:t xml:space="preserve"> refacturés par HFI à ses filiales</w:t>
            </w:r>
          </w:p>
        </w:tc>
        <w:tc>
          <w:tcPr>
            <w:tcW w:w="185" w:type="dxa"/>
            <w:tcBorders>
              <w:top w:val="nil"/>
              <w:left w:val="nil"/>
              <w:bottom w:val="nil"/>
              <w:right w:val="nil"/>
            </w:tcBorders>
            <w:noWrap/>
            <w:vAlign w:val="center"/>
            <w:hideMark/>
          </w:tcPr>
          <w:p w14:paraId="4BBB85B4"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74052966"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05121430"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219D18BB"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22CA869E"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4E9B1637" w14:textId="77777777" w:rsidR="00B77871" w:rsidRDefault="00B77871">
            <w:pPr>
              <w:jc w:val="right"/>
              <w:rPr>
                <w:rFonts w:ascii="Arial" w:hAnsi="Arial" w:cs="Arial"/>
                <w:sz w:val="16"/>
                <w:szCs w:val="16"/>
              </w:rPr>
            </w:pPr>
            <w:r>
              <w:rPr>
                <w:rFonts w:ascii="Arial" w:hAnsi="Arial" w:cs="Arial"/>
                <w:sz w:val="16"/>
                <w:szCs w:val="16"/>
              </w:rPr>
              <w:t>(5)</w:t>
            </w:r>
          </w:p>
        </w:tc>
      </w:tr>
      <w:tr w:rsidR="00B77871" w14:paraId="066DDEA5" w14:textId="77777777" w:rsidTr="00DC6838">
        <w:trPr>
          <w:trHeight w:val="200"/>
        </w:trPr>
        <w:tc>
          <w:tcPr>
            <w:tcW w:w="4980" w:type="dxa"/>
            <w:tcBorders>
              <w:top w:val="nil"/>
              <w:left w:val="nil"/>
              <w:bottom w:val="nil"/>
              <w:right w:val="nil"/>
            </w:tcBorders>
            <w:noWrap/>
            <w:vAlign w:val="center"/>
            <w:hideMark/>
          </w:tcPr>
          <w:p w14:paraId="37A32409" w14:textId="77777777" w:rsidR="00B77871" w:rsidRDefault="00B77871">
            <w:pPr>
              <w:rPr>
                <w:rFonts w:ascii="Arial" w:hAnsi="Arial" w:cs="Arial"/>
                <w:sz w:val="16"/>
                <w:szCs w:val="16"/>
              </w:rPr>
            </w:pPr>
            <w:r>
              <w:rPr>
                <w:rFonts w:ascii="Arial" w:hAnsi="Arial" w:cs="Arial"/>
                <w:sz w:val="16"/>
                <w:szCs w:val="16"/>
              </w:rPr>
              <w:t>Impôts et taxes</w:t>
            </w:r>
          </w:p>
        </w:tc>
        <w:tc>
          <w:tcPr>
            <w:tcW w:w="185" w:type="dxa"/>
            <w:tcBorders>
              <w:top w:val="nil"/>
              <w:left w:val="nil"/>
              <w:bottom w:val="nil"/>
              <w:right w:val="nil"/>
            </w:tcBorders>
            <w:noWrap/>
            <w:vAlign w:val="center"/>
            <w:hideMark/>
          </w:tcPr>
          <w:p w14:paraId="08AA39DA"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057A05BD"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353AD736"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2D5F0B42"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323FB83F"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518C177C" w14:textId="77777777" w:rsidR="00B77871" w:rsidRDefault="00B77871">
            <w:pPr>
              <w:jc w:val="right"/>
              <w:rPr>
                <w:rFonts w:ascii="Arial" w:hAnsi="Arial" w:cs="Arial"/>
                <w:sz w:val="16"/>
                <w:szCs w:val="16"/>
              </w:rPr>
            </w:pPr>
            <w:r>
              <w:rPr>
                <w:rFonts w:ascii="Arial" w:hAnsi="Arial" w:cs="Arial"/>
                <w:sz w:val="16"/>
                <w:szCs w:val="16"/>
              </w:rPr>
              <w:t>(2)</w:t>
            </w:r>
          </w:p>
        </w:tc>
      </w:tr>
      <w:tr w:rsidR="00B77871" w14:paraId="24DDEA43" w14:textId="77777777" w:rsidTr="00DC6838">
        <w:trPr>
          <w:trHeight w:val="200"/>
        </w:trPr>
        <w:tc>
          <w:tcPr>
            <w:tcW w:w="4980" w:type="dxa"/>
            <w:tcBorders>
              <w:top w:val="nil"/>
              <w:left w:val="nil"/>
              <w:bottom w:val="nil"/>
              <w:right w:val="nil"/>
            </w:tcBorders>
            <w:noWrap/>
            <w:vAlign w:val="center"/>
            <w:hideMark/>
          </w:tcPr>
          <w:p w14:paraId="40031750" w14:textId="77777777" w:rsidR="00B77871" w:rsidRDefault="00B77871">
            <w:pPr>
              <w:rPr>
                <w:rFonts w:ascii="Arial" w:hAnsi="Arial" w:cs="Arial"/>
                <w:sz w:val="16"/>
                <w:szCs w:val="16"/>
              </w:rPr>
            </w:pPr>
            <w:r>
              <w:rPr>
                <w:rFonts w:ascii="Arial" w:hAnsi="Arial" w:cs="Arial"/>
                <w:sz w:val="16"/>
                <w:szCs w:val="16"/>
              </w:rPr>
              <w:t>CAPEX de rénovation</w:t>
            </w:r>
          </w:p>
        </w:tc>
        <w:tc>
          <w:tcPr>
            <w:tcW w:w="185" w:type="dxa"/>
            <w:tcBorders>
              <w:top w:val="nil"/>
              <w:left w:val="nil"/>
              <w:bottom w:val="nil"/>
              <w:right w:val="nil"/>
            </w:tcBorders>
            <w:noWrap/>
            <w:vAlign w:val="center"/>
            <w:hideMark/>
          </w:tcPr>
          <w:p w14:paraId="51A23AD1"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57B74D33"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E197F3C"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332F53E"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4F71A32" w14:textId="77777777" w:rsidR="00B77871" w:rsidRDefault="00B77871">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6B4E5BA" w14:textId="77777777" w:rsidR="00B77871" w:rsidRDefault="00B77871">
            <w:pPr>
              <w:jc w:val="right"/>
              <w:rPr>
                <w:rFonts w:ascii="Arial" w:hAnsi="Arial" w:cs="Arial"/>
                <w:sz w:val="16"/>
                <w:szCs w:val="16"/>
              </w:rPr>
            </w:pPr>
            <w:r>
              <w:rPr>
                <w:rFonts w:ascii="Arial" w:hAnsi="Arial" w:cs="Arial"/>
                <w:sz w:val="16"/>
                <w:szCs w:val="16"/>
              </w:rPr>
              <w:t xml:space="preserve">- </w:t>
            </w:r>
          </w:p>
        </w:tc>
      </w:tr>
      <w:tr w:rsidR="00B77871" w14:paraId="28913FC6" w14:textId="77777777" w:rsidTr="00DC6838">
        <w:trPr>
          <w:trHeight w:val="200"/>
        </w:trPr>
        <w:tc>
          <w:tcPr>
            <w:tcW w:w="4980" w:type="dxa"/>
            <w:tcBorders>
              <w:top w:val="nil"/>
              <w:left w:val="nil"/>
              <w:bottom w:val="nil"/>
              <w:right w:val="nil"/>
            </w:tcBorders>
            <w:noWrap/>
            <w:vAlign w:val="center"/>
            <w:hideMark/>
          </w:tcPr>
          <w:p w14:paraId="7070D013" w14:textId="77777777" w:rsidR="00B77871" w:rsidRDefault="00B77871">
            <w:pPr>
              <w:rPr>
                <w:rFonts w:ascii="Arial" w:hAnsi="Arial" w:cs="Arial"/>
                <w:sz w:val="16"/>
                <w:szCs w:val="16"/>
              </w:rPr>
            </w:pPr>
            <w:r>
              <w:rPr>
                <w:rFonts w:ascii="Arial" w:hAnsi="Arial" w:cs="Arial"/>
                <w:sz w:val="16"/>
                <w:szCs w:val="16"/>
              </w:rPr>
              <w:t>CAPEX d'entretien</w:t>
            </w:r>
          </w:p>
        </w:tc>
        <w:tc>
          <w:tcPr>
            <w:tcW w:w="185" w:type="dxa"/>
            <w:tcBorders>
              <w:top w:val="nil"/>
              <w:left w:val="nil"/>
              <w:bottom w:val="nil"/>
              <w:right w:val="nil"/>
            </w:tcBorders>
            <w:noWrap/>
            <w:vAlign w:val="center"/>
            <w:hideMark/>
          </w:tcPr>
          <w:p w14:paraId="32EB4A89"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07973753" w14:textId="77777777" w:rsidR="00B77871" w:rsidRDefault="00B77871">
            <w:pPr>
              <w:jc w:val="right"/>
              <w:rPr>
                <w:rFonts w:ascii="Arial" w:hAnsi="Arial" w:cs="Arial"/>
                <w:sz w:val="16"/>
                <w:szCs w:val="16"/>
              </w:rPr>
            </w:pPr>
            <w:r>
              <w:rPr>
                <w:rFonts w:ascii="Arial" w:hAnsi="Arial" w:cs="Arial"/>
                <w:sz w:val="16"/>
                <w:szCs w:val="16"/>
              </w:rPr>
              <w:t>(3)</w:t>
            </w:r>
          </w:p>
        </w:tc>
        <w:tc>
          <w:tcPr>
            <w:tcW w:w="1000" w:type="dxa"/>
            <w:tcBorders>
              <w:top w:val="nil"/>
              <w:left w:val="nil"/>
              <w:bottom w:val="nil"/>
              <w:right w:val="nil"/>
            </w:tcBorders>
            <w:noWrap/>
            <w:vAlign w:val="center"/>
            <w:hideMark/>
          </w:tcPr>
          <w:p w14:paraId="4F321E8D" w14:textId="77777777" w:rsidR="00B77871" w:rsidRDefault="00B77871">
            <w:pPr>
              <w:jc w:val="right"/>
              <w:rPr>
                <w:rFonts w:ascii="Arial" w:hAnsi="Arial" w:cs="Arial"/>
                <w:sz w:val="16"/>
                <w:szCs w:val="16"/>
              </w:rPr>
            </w:pPr>
            <w:r>
              <w:rPr>
                <w:rFonts w:ascii="Arial" w:hAnsi="Arial" w:cs="Arial"/>
                <w:sz w:val="16"/>
                <w:szCs w:val="16"/>
              </w:rPr>
              <w:t>(3)</w:t>
            </w:r>
          </w:p>
        </w:tc>
        <w:tc>
          <w:tcPr>
            <w:tcW w:w="1000" w:type="dxa"/>
            <w:tcBorders>
              <w:top w:val="nil"/>
              <w:left w:val="nil"/>
              <w:bottom w:val="nil"/>
              <w:right w:val="nil"/>
            </w:tcBorders>
            <w:noWrap/>
            <w:vAlign w:val="center"/>
            <w:hideMark/>
          </w:tcPr>
          <w:p w14:paraId="50CAF84A" w14:textId="77777777" w:rsidR="00B77871" w:rsidRDefault="00B77871">
            <w:pPr>
              <w:jc w:val="right"/>
              <w:rPr>
                <w:rFonts w:ascii="Arial" w:hAnsi="Arial" w:cs="Arial"/>
                <w:sz w:val="16"/>
                <w:szCs w:val="16"/>
              </w:rPr>
            </w:pPr>
            <w:r>
              <w:rPr>
                <w:rFonts w:ascii="Arial" w:hAnsi="Arial" w:cs="Arial"/>
                <w:sz w:val="16"/>
                <w:szCs w:val="16"/>
              </w:rPr>
              <w:t>(3)</w:t>
            </w:r>
          </w:p>
        </w:tc>
        <w:tc>
          <w:tcPr>
            <w:tcW w:w="1000" w:type="dxa"/>
            <w:tcBorders>
              <w:top w:val="nil"/>
              <w:left w:val="nil"/>
              <w:bottom w:val="nil"/>
              <w:right w:val="nil"/>
            </w:tcBorders>
            <w:noWrap/>
            <w:vAlign w:val="center"/>
            <w:hideMark/>
          </w:tcPr>
          <w:p w14:paraId="15A40C65" w14:textId="77777777" w:rsidR="00B77871" w:rsidRDefault="00B77871">
            <w:pPr>
              <w:jc w:val="right"/>
              <w:rPr>
                <w:rFonts w:ascii="Arial" w:hAnsi="Arial" w:cs="Arial"/>
                <w:sz w:val="16"/>
                <w:szCs w:val="16"/>
              </w:rPr>
            </w:pPr>
            <w:r>
              <w:rPr>
                <w:rFonts w:ascii="Arial" w:hAnsi="Arial" w:cs="Arial"/>
                <w:sz w:val="16"/>
                <w:szCs w:val="16"/>
              </w:rPr>
              <w:t>(3)</w:t>
            </w:r>
          </w:p>
        </w:tc>
        <w:tc>
          <w:tcPr>
            <w:tcW w:w="1000" w:type="dxa"/>
            <w:tcBorders>
              <w:top w:val="nil"/>
              <w:left w:val="nil"/>
              <w:bottom w:val="nil"/>
              <w:right w:val="nil"/>
            </w:tcBorders>
            <w:noWrap/>
            <w:vAlign w:val="center"/>
            <w:hideMark/>
          </w:tcPr>
          <w:p w14:paraId="517C4C8B" w14:textId="77777777" w:rsidR="00B77871" w:rsidRDefault="00B77871">
            <w:pPr>
              <w:jc w:val="right"/>
              <w:rPr>
                <w:rFonts w:ascii="Arial" w:hAnsi="Arial" w:cs="Arial"/>
                <w:sz w:val="16"/>
                <w:szCs w:val="16"/>
              </w:rPr>
            </w:pPr>
            <w:r>
              <w:rPr>
                <w:rFonts w:ascii="Arial" w:hAnsi="Arial" w:cs="Arial"/>
                <w:sz w:val="16"/>
                <w:szCs w:val="16"/>
              </w:rPr>
              <w:t>(3)</w:t>
            </w:r>
          </w:p>
        </w:tc>
      </w:tr>
      <w:tr w:rsidR="00B77871" w14:paraId="5EDE8304" w14:textId="77777777" w:rsidTr="00DC6838">
        <w:trPr>
          <w:trHeight w:val="200"/>
        </w:trPr>
        <w:tc>
          <w:tcPr>
            <w:tcW w:w="4980" w:type="dxa"/>
            <w:tcBorders>
              <w:top w:val="nil"/>
              <w:left w:val="nil"/>
              <w:bottom w:val="nil"/>
              <w:right w:val="nil"/>
            </w:tcBorders>
            <w:noWrap/>
            <w:vAlign w:val="center"/>
            <w:hideMark/>
          </w:tcPr>
          <w:p w14:paraId="67484926" w14:textId="77777777" w:rsidR="00B77871" w:rsidRDefault="00B77871">
            <w:pPr>
              <w:rPr>
                <w:rFonts w:ascii="Arial" w:hAnsi="Arial" w:cs="Arial"/>
                <w:sz w:val="16"/>
                <w:szCs w:val="16"/>
              </w:rPr>
            </w:pPr>
            <w:r>
              <w:rPr>
                <w:rFonts w:ascii="Arial" w:hAnsi="Arial" w:cs="Arial"/>
                <w:sz w:val="16"/>
                <w:szCs w:val="16"/>
              </w:rPr>
              <w:t>IS</w:t>
            </w:r>
          </w:p>
        </w:tc>
        <w:tc>
          <w:tcPr>
            <w:tcW w:w="185" w:type="dxa"/>
            <w:tcBorders>
              <w:top w:val="nil"/>
              <w:left w:val="nil"/>
              <w:bottom w:val="nil"/>
              <w:right w:val="nil"/>
            </w:tcBorders>
            <w:noWrap/>
            <w:vAlign w:val="center"/>
            <w:hideMark/>
          </w:tcPr>
          <w:p w14:paraId="5B2B15D0" w14:textId="77777777" w:rsidR="00B77871" w:rsidRDefault="00B77871">
            <w:pPr>
              <w:rPr>
                <w:rFonts w:ascii="Arial" w:hAnsi="Arial" w:cs="Arial"/>
                <w:sz w:val="16"/>
                <w:szCs w:val="16"/>
              </w:rPr>
            </w:pPr>
          </w:p>
        </w:tc>
        <w:tc>
          <w:tcPr>
            <w:tcW w:w="1000" w:type="dxa"/>
            <w:tcBorders>
              <w:top w:val="nil"/>
              <w:left w:val="nil"/>
              <w:bottom w:val="nil"/>
              <w:right w:val="nil"/>
            </w:tcBorders>
            <w:noWrap/>
            <w:vAlign w:val="center"/>
            <w:hideMark/>
          </w:tcPr>
          <w:p w14:paraId="1EF0B2B1" w14:textId="77777777" w:rsidR="00B77871" w:rsidRDefault="00B77871">
            <w:pPr>
              <w:jc w:val="right"/>
              <w:rPr>
                <w:rFonts w:ascii="Arial" w:hAnsi="Arial" w:cs="Arial"/>
                <w:sz w:val="16"/>
                <w:szCs w:val="16"/>
              </w:rPr>
            </w:pPr>
            <w:r>
              <w:rPr>
                <w:rFonts w:ascii="Arial" w:hAnsi="Arial" w:cs="Arial"/>
                <w:sz w:val="16"/>
                <w:szCs w:val="16"/>
              </w:rPr>
              <w:t>(5)</w:t>
            </w:r>
          </w:p>
        </w:tc>
        <w:tc>
          <w:tcPr>
            <w:tcW w:w="1000" w:type="dxa"/>
            <w:tcBorders>
              <w:top w:val="nil"/>
              <w:left w:val="nil"/>
              <w:bottom w:val="nil"/>
              <w:right w:val="nil"/>
            </w:tcBorders>
            <w:noWrap/>
            <w:vAlign w:val="center"/>
            <w:hideMark/>
          </w:tcPr>
          <w:p w14:paraId="1303F9E2" w14:textId="77777777" w:rsidR="00B77871" w:rsidRDefault="00B77871">
            <w:pPr>
              <w:jc w:val="right"/>
              <w:rPr>
                <w:rFonts w:ascii="Arial" w:hAnsi="Arial" w:cs="Arial"/>
                <w:sz w:val="16"/>
                <w:szCs w:val="16"/>
              </w:rPr>
            </w:pPr>
            <w:r>
              <w:rPr>
                <w:rFonts w:ascii="Arial" w:hAnsi="Arial" w:cs="Arial"/>
                <w:sz w:val="16"/>
                <w:szCs w:val="16"/>
              </w:rPr>
              <w:t>(6)</w:t>
            </w:r>
          </w:p>
        </w:tc>
        <w:tc>
          <w:tcPr>
            <w:tcW w:w="1000" w:type="dxa"/>
            <w:tcBorders>
              <w:top w:val="nil"/>
              <w:left w:val="nil"/>
              <w:bottom w:val="nil"/>
              <w:right w:val="nil"/>
            </w:tcBorders>
            <w:noWrap/>
            <w:vAlign w:val="center"/>
            <w:hideMark/>
          </w:tcPr>
          <w:p w14:paraId="1A9614D1" w14:textId="77777777" w:rsidR="00B77871" w:rsidRDefault="00B77871">
            <w:pPr>
              <w:jc w:val="right"/>
              <w:rPr>
                <w:rFonts w:ascii="Arial" w:hAnsi="Arial" w:cs="Arial"/>
                <w:sz w:val="16"/>
                <w:szCs w:val="16"/>
              </w:rPr>
            </w:pPr>
            <w:r>
              <w:rPr>
                <w:rFonts w:ascii="Arial" w:hAnsi="Arial" w:cs="Arial"/>
                <w:sz w:val="16"/>
                <w:szCs w:val="16"/>
              </w:rPr>
              <w:t>(6)</w:t>
            </w:r>
          </w:p>
        </w:tc>
        <w:tc>
          <w:tcPr>
            <w:tcW w:w="1000" w:type="dxa"/>
            <w:tcBorders>
              <w:top w:val="nil"/>
              <w:left w:val="nil"/>
              <w:bottom w:val="nil"/>
              <w:right w:val="nil"/>
            </w:tcBorders>
            <w:noWrap/>
            <w:vAlign w:val="center"/>
            <w:hideMark/>
          </w:tcPr>
          <w:p w14:paraId="0AA954DE" w14:textId="77777777" w:rsidR="00B77871" w:rsidRDefault="00B77871">
            <w:pPr>
              <w:jc w:val="right"/>
              <w:rPr>
                <w:rFonts w:ascii="Arial" w:hAnsi="Arial" w:cs="Arial"/>
                <w:sz w:val="16"/>
                <w:szCs w:val="16"/>
              </w:rPr>
            </w:pPr>
            <w:r>
              <w:rPr>
                <w:rFonts w:ascii="Arial" w:hAnsi="Arial" w:cs="Arial"/>
                <w:sz w:val="16"/>
                <w:szCs w:val="16"/>
              </w:rPr>
              <w:t>(6)</w:t>
            </w:r>
          </w:p>
        </w:tc>
        <w:tc>
          <w:tcPr>
            <w:tcW w:w="1000" w:type="dxa"/>
            <w:tcBorders>
              <w:top w:val="nil"/>
              <w:left w:val="nil"/>
              <w:bottom w:val="nil"/>
              <w:right w:val="nil"/>
            </w:tcBorders>
            <w:noWrap/>
            <w:vAlign w:val="center"/>
            <w:hideMark/>
          </w:tcPr>
          <w:p w14:paraId="1D29924E" w14:textId="77777777" w:rsidR="00B77871" w:rsidRDefault="00B77871">
            <w:pPr>
              <w:jc w:val="right"/>
              <w:rPr>
                <w:rFonts w:ascii="Arial" w:hAnsi="Arial" w:cs="Arial"/>
                <w:sz w:val="16"/>
                <w:szCs w:val="16"/>
              </w:rPr>
            </w:pPr>
            <w:r>
              <w:rPr>
                <w:rFonts w:ascii="Arial" w:hAnsi="Arial" w:cs="Arial"/>
                <w:sz w:val="16"/>
                <w:szCs w:val="16"/>
              </w:rPr>
              <w:t>(6)</w:t>
            </w:r>
          </w:p>
        </w:tc>
      </w:tr>
      <w:tr w:rsidR="00B77871" w14:paraId="17383465" w14:textId="77777777" w:rsidTr="00DC6838">
        <w:trPr>
          <w:trHeight w:val="108"/>
        </w:trPr>
        <w:tc>
          <w:tcPr>
            <w:tcW w:w="4980" w:type="dxa"/>
            <w:tcBorders>
              <w:top w:val="nil"/>
              <w:left w:val="nil"/>
              <w:bottom w:val="nil"/>
              <w:right w:val="nil"/>
            </w:tcBorders>
            <w:noWrap/>
            <w:vAlign w:val="center"/>
            <w:hideMark/>
          </w:tcPr>
          <w:p w14:paraId="195511A3" w14:textId="77777777" w:rsidR="00B77871" w:rsidRDefault="00B77871">
            <w:pPr>
              <w:jc w:val="right"/>
              <w:rPr>
                <w:rFonts w:ascii="Arial" w:hAnsi="Arial" w:cs="Arial"/>
                <w:sz w:val="16"/>
                <w:szCs w:val="16"/>
              </w:rPr>
            </w:pPr>
          </w:p>
        </w:tc>
        <w:tc>
          <w:tcPr>
            <w:tcW w:w="185" w:type="dxa"/>
            <w:tcBorders>
              <w:top w:val="nil"/>
              <w:left w:val="nil"/>
              <w:bottom w:val="nil"/>
              <w:right w:val="nil"/>
            </w:tcBorders>
            <w:noWrap/>
            <w:vAlign w:val="center"/>
            <w:hideMark/>
          </w:tcPr>
          <w:p w14:paraId="6F92643E" w14:textId="77777777" w:rsidR="00B77871" w:rsidRDefault="00B77871">
            <w:pPr>
              <w:rPr>
                <w:sz w:val="20"/>
                <w:szCs w:val="20"/>
              </w:rPr>
            </w:pPr>
          </w:p>
        </w:tc>
        <w:tc>
          <w:tcPr>
            <w:tcW w:w="1000" w:type="dxa"/>
            <w:tcBorders>
              <w:top w:val="nil"/>
              <w:left w:val="nil"/>
              <w:bottom w:val="nil"/>
              <w:right w:val="nil"/>
            </w:tcBorders>
            <w:noWrap/>
            <w:vAlign w:val="center"/>
            <w:hideMark/>
          </w:tcPr>
          <w:p w14:paraId="5E1C8A0B"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07E8BB04"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065B34F7"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740B9728"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7BB2D8E8" w14:textId="77777777" w:rsidR="00B77871" w:rsidRDefault="00B77871">
            <w:pPr>
              <w:jc w:val="right"/>
              <w:rPr>
                <w:sz w:val="20"/>
                <w:szCs w:val="20"/>
              </w:rPr>
            </w:pPr>
          </w:p>
        </w:tc>
      </w:tr>
      <w:tr w:rsidR="00B77871" w14:paraId="0A6C292B" w14:textId="77777777" w:rsidTr="00DC6838">
        <w:trPr>
          <w:trHeight w:val="210"/>
        </w:trPr>
        <w:tc>
          <w:tcPr>
            <w:tcW w:w="4980" w:type="dxa"/>
            <w:tcBorders>
              <w:top w:val="single" w:sz="4" w:space="0" w:color="7F7F7F"/>
              <w:left w:val="nil"/>
              <w:bottom w:val="nil"/>
              <w:right w:val="nil"/>
            </w:tcBorders>
            <w:noWrap/>
            <w:vAlign w:val="center"/>
            <w:hideMark/>
          </w:tcPr>
          <w:p w14:paraId="623EC0C2" w14:textId="77777777" w:rsidR="00B77871" w:rsidRDefault="00B77871">
            <w:pPr>
              <w:rPr>
                <w:rFonts w:ascii="Arial" w:hAnsi="Arial" w:cs="Arial"/>
                <w:b/>
                <w:bCs/>
                <w:color w:val="000000"/>
                <w:sz w:val="16"/>
                <w:szCs w:val="16"/>
              </w:rPr>
            </w:pPr>
            <w:r>
              <w:rPr>
                <w:rFonts w:ascii="Arial" w:hAnsi="Arial" w:cs="Arial"/>
                <w:b/>
                <w:bCs/>
                <w:color w:val="000000"/>
                <w:sz w:val="16"/>
                <w:szCs w:val="16"/>
              </w:rPr>
              <w:t>Décaissements</w:t>
            </w:r>
          </w:p>
        </w:tc>
        <w:tc>
          <w:tcPr>
            <w:tcW w:w="185" w:type="dxa"/>
            <w:tcBorders>
              <w:top w:val="single" w:sz="4" w:space="0" w:color="7F7F7F"/>
              <w:left w:val="nil"/>
              <w:bottom w:val="nil"/>
              <w:right w:val="nil"/>
            </w:tcBorders>
            <w:noWrap/>
            <w:vAlign w:val="center"/>
            <w:hideMark/>
          </w:tcPr>
          <w:p w14:paraId="1C75C9EA"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nil"/>
              <w:right w:val="nil"/>
            </w:tcBorders>
            <w:noWrap/>
            <w:vAlign w:val="center"/>
            <w:hideMark/>
          </w:tcPr>
          <w:p w14:paraId="6DCFDE03"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(21)</w:t>
            </w:r>
          </w:p>
        </w:tc>
        <w:tc>
          <w:tcPr>
            <w:tcW w:w="1000" w:type="dxa"/>
            <w:tcBorders>
              <w:top w:val="single" w:sz="4" w:space="0" w:color="7F7F7F"/>
              <w:left w:val="nil"/>
              <w:bottom w:val="nil"/>
              <w:right w:val="nil"/>
            </w:tcBorders>
            <w:noWrap/>
            <w:vAlign w:val="center"/>
            <w:hideMark/>
          </w:tcPr>
          <w:p w14:paraId="5A850848"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(21)</w:t>
            </w:r>
          </w:p>
        </w:tc>
        <w:tc>
          <w:tcPr>
            <w:tcW w:w="1000" w:type="dxa"/>
            <w:tcBorders>
              <w:top w:val="single" w:sz="4" w:space="0" w:color="7F7F7F"/>
              <w:left w:val="nil"/>
              <w:bottom w:val="nil"/>
              <w:right w:val="nil"/>
            </w:tcBorders>
            <w:noWrap/>
            <w:vAlign w:val="center"/>
            <w:hideMark/>
          </w:tcPr>
          <w:p w14:paraId="3C9BA147"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(21)</w:t>
            </w:r>
          </w:p>
        </w:tc>
        <w:tc>
          <w:tcPr>
            <w:tcW w:w="1000" w:type="dxa"/>
            <w:tcBorders>
              <w:top w:val="single" w:sz="4" w:space="0" w:color="7F7F7F"/>
              <w:left w:val="nil"/>
              <w:bottom w:val="nil"/>
              <w:right w:val="nil"/>
            </w:tcBorders>
            <w:noWrap/>
            <w:vAlign w:val="center"/>
            <w:hideMark/>
          </w:tcPr>
          <w:p w14:paraId="3986E295"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(22)</w:t>
            </w:r>
          </w:p>
        </w:tc>
        <w:tc>
          <w:tcPr>
            <w:tcW w:w="1000" w:type="dxa"/>
            <w:tcBorders>
              <w:top w:val="single" w:sz="4" w:space="0" w:color="7F7F7F"/>
              <w:left w:val="nil"/>
              <w:bottom w:val="nil"/>
              <w:right w:val="nil"/>
            </w:tcBorders>
            <w:noWrap/>
            <w:vAlign w:val="center"/>
            <w:hideMark/>
          </w:tcPr>
          <w:p w14:paraId="06AF340A"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(22)</w:t>
            </w:r>
          </w:p>
        </w:tc>
      </w:tr>
      <w:tr w:rsidR="00B77871" w14:paraId="14B55997" w14:textId="77777777" w:rsidTr="00DC6838">
        <w:trPr>
          <w:trHeight w:val="108"/>
        </w:trPr>
        <w:tc>
          <w:tcPr>
            <w:tcW w:w="4980" w:type="dxa"/>
            <w:tcBorders>
              <w:top w:val="nil"/>
              <w:left w:val="nil"/>
              <w:bottom w:val="nil"/>
              <w:right w:val="nil"/>
            </w:tcBorders>
            <w:noWrap/>
            <w:vAlign w:val="center"/>
            <w:hideMark/>
          </w:tcPr>
          <w:p w14:paraId="72741FAC" w14:textId="77777777" w:rsidR="00B77871" w:rsidRDefault="00B7787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6BF00D81" w14:textId="77777777" w:rsidR="00B77871" w:rsidRDefault="00B77871">
            <w:pPr>
              <w:rPr>
                <w:sz w:val="20"/>
                <w:szCs w:val="20"/>
              </w:rPr>
            </w:pPr>
          </w:p>
        </w:tc>
        <w:tc>
          <w:tcPr>
            <w:tcW w:w="1000" w:type="dxa"/>
            <w:tcBorders>
              <w:top w:val="nil"/>
              <w:left w:val="nil"/>
              <w:bottom w:val="nil"/>
              <w:right w:val="nil"/>
            </w:tcBorders>
            <w:noWrap/>
            <w:vAlign w:val="center"/>
            <w:hideMark/>
          </w:tcPr>
          <w:p w14:paraId="73431029" w14:textId="77777777" w:rsidR="00B77871" w:rsidRDefault="00B77871">
            <w:pPr>
              <w:rPr>
                <w:sz w:val="20"/>
                <w:szCs w:val="20"/>
              </w:rPr>
            </w:pPr>
          </w:p>
        </w:tc>
        <w:tc>
          <w:tcPr>
            <w:tcW w:w="1000" w:type="dxa"/>
            <w:tcBorders>
              <w:top w:val="nil"/>
              <w:left w:val="nil"/>
              <w:bottom w:val="nil"/>
              <w:right w:val="nil"/>
            </w:tcBorders>
            <w:noWrap/>
            <w:vAlign w:val="center"/>
            <w:hideMark/>
          </w:tcPr>
          <w:p w14:paraId="6ECFF04D"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3A429A1B"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281ED973"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4288C9DF" w14:textId="77777777" w:rsidR="00B77871" w:rsidRDefault="00B77871">
            <w:pPr>
              <w:jc w:val="right"/>
              <w:rPr>
                <w:sz w:val="20"/>
                <w:szCs w:val="20"/>
              </w:rPr>
            </w:pPr>
          </w:p>
        </w:tc>
      </w:tr>
      <w:tr w:rsidR="00B77871" w14:paraId="7B15E437" w14:textId="77777777" w:rsidTr="00DC6838">
        <w:trPr>
          <w:trHeight w:val="210"/>
        </w:trPr>
        <w:tc>
          <w:tcPr>
            <w:tcW w:w="4980" w:type="dxa"/>
            <w:tcBorders>
              <w:top w:val="nil"/>
              <w:left w:val="nil"/>
              <w:bottom w:val="nil"/>
              <w:right w:val="nil"/>
            </w:tcBorders>
            <w:noWrap/>
            <w:vAlign w:val="center"/>
            <w:hideMark/>
          </w:tcPr>
          <w:p w14:paraId="0C3AA6B6" w14:textId="77777777" w:rsidR="00B77871" w:rsidRDefault="00B77871">
            <w:pPr>
              <w:rPr>
                <w:rFonts w:ascii="Arial" w:hAnsi="Arial" w:cs="Arial"/>
                <w:color w:val="000000"/>
                <w:sz w:val="16"/>
                <w:szCs w:val="16"/>
              </w:rPr>
            </w:pPr>
            <w:r>
              <w:rPr>
                <w:rFonts w:ascii="Arial" w:hAnsi="Arial" w:cs="Arial"/>
                <w:color w:val="000000"/>
                <w:sz w:val="16"/>
                <w:szCs w:val="16"/>
              </w:rPr>
              <w:t>(TVA décaissée) / Crédit de TVA</w:t>
            </w:r>
          </w:p>
        </w:tc>
        <w:tc>
          <w:tcPr>
            <w:tcW w:w="185" w:type="dxa"/>
            <w:tcBorders>
              <w:top w:val="nil"/>
              <w:left w:val="nil"/>
              <w:bottom w:val="nil"/>
              <w:right w:val="nil"/>
            </w:tcBorders>
            <w:noWrap/>
            <w:vAlign w:val="center"/>
            <w:hideMark/>
          </w:tcPr>
          <w:p w14:paraId="411A5814" w14:textId="77777777" w:rsidR="00B77871" w:rsidRDefault="00B77871">
            <w:pPr>
              <w:rPr>
                <w:rFonts w:ascii="Arial" w:hAnsi="Arial" w:cs="Arial"/>
                <w:color w:val="000000"/>
                <w:sz w:val="16"/>
                <w:szCs w:val="16"/>
              </w:rPr>
            </w:pPr>
          </w:p>
        </w:tc>
        <w:tc>
          <w:tcPr>
            <w:tcW w:w="1000" w:type="dxa"/>
            <w:tcBorders>
              <w:top w:val="nil"/>
              <w:left w:val="nil"/>
              <w:bottom w:val="nil"/>
              <w:right w:val="nil"/>
            </w:tcBorders>
            <w:noWrap/>
            <w:vAlign w:val="center"/>
            <w:hideMark/>
          </w:tcPr>
          <w:p w14:paraId="2AB1C771"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013CFB2B"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1B7C4E2E"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0ACFFEFA" w14:textId="77777777" w:rsidR="00B77871" w:rsidRDefault="00B77871">
            <w:pPr>
              <w:jc w:val="right"/>
              <w:rPr>
                <w:rFonts w:ascii="Arial" w:hAnsi="Arial" w:cs="Arial"/>
                <w:sz w:val="16"/>
                <w:szCs w:val="16"/>
              </w:rPr>
            </w:pPr>
            <w:r>
              <w:rPr>
                <w:rFonts w:ascii="Arial" w:hAnsi="Arial" w:cs="Arial"/>
                <w:sz w:val="16"/>
                <w:szCs w:val="16"/>
              </w:rPr>
              <w:t>(2)</w:t>
            </w:r>
          </w:p>
        </w:tc>
        <w:tc>
          <w:tcPr>
            <w:tcW w:w="1000" w:type="dxa"/>
            <w:tcBorders>
              <w:top w:val="nil"/>
              <w:left w:val="nil"/>
              <w:bottom w:val="nil"/>
              <w:right w:val="nil"/>
            </w:tcBorders>
            <w:noWrap/>
            <w:vAlign w:val="center"/>
            <w:hideMark/>
          </w:tcPr>
          <w:p w14:paraId="687567A4" w14:textId="77777777" w:rsidR="00B77871" w:rsidRDefault="00B77871">
            <w:pPr>
              <w:jc w:val="right"/>
              <w:rPr>
                <w:rFonts w:ascii="Arial" w:hAnsi="Arial" w:cs="Arial"/>
                <w:sz w:val="16"/>
                <w:szCs w:val="16"/>
              </w:rPr>
            </w:pPr>
            <w:r>
              <w:rPr>
                <w:rFonts w:ascii="Arial" w:hAnsi="Arial" w:cs="Arial"/>
                <w:sz w:val="16"/>
                <w:szCs w:val="16"/>
              </w:rPr>
              <w:t>(2)</w:t>
            </w:r>
          </w:p>
        </w:tc>
      </w:tr>
      <w:tr w:rsidR="00B77871" w14:paraId="44F20DE5" w14:textId="77777777" w:rsidTr="00DC6838">
        <w:trPr>
          <w:trHeight w:val="108"/>
        </w:trPr>
        <w:tc>
          <w:tcPr>
            <w:tcW w:w="4980" w:type="dxa"/>
            <w:tcBorders>
              <w:top w:val="nil"/>
              <w:left w:val="nil"/>
              <w:bottom w:val="nil"/>
              <w:right w:val="nil"/>
            </w:tcBorders>
            <w:noWrap/>
            <w:vAlign w:val="center"/>
            <w:hideMark/>
          </w:tcPr>
          <w:p w14:paraId="11E10E37" w14:textId="77777777" w:rsidR="00B77871" w:rsidRDefault="00B77871">
            <w:pPr>
              <w:jc w:val="right"/>
              <w:rPr>
                <w:rFonts w:ascii="Arial" w:hAnsi="Arial" w:cs="Arial"/>
                <w:sz w:val="16"/>
                <w:szCs w:val="16"/>
              </w:rPr>
            </w:pPr>
          </w:p>
        </w:tc>
        <w:tc>
          <w:tcPr>
            <w:tcW w:w="185" w:type="dxa"/>
            <w:tcBorders>
              <w:top w:val="nil"/>
              <w:left w:val="nil"/>
              <w:bottom w:val="nil"/>
              <w:right w:val="nil"/>
            </w:tcBorders>
            <w:noWrap/>
            <w:vAlign w:val="center"/>
            <w:hideMark/>
          </w:tcPr>
          <w:p w14:paraId="01EB0DC1" w14:textId="77777777" w:rsidR="00B77871" w:rsidRDefault="00B77871">
            <w:pPr>
              <w:rPr>
                <w:sz w:val="20"/>
                <w:szCs w:val="20"/>
              </w:rPr>
            </w:pPr>
          </w:p>
        </w:tc>
        <w:tc>
          <w:tcPr>
            <w:tcW w:w="1000" w:type="dxa"/>
            <w:tcBorders>
              <w:top w:val="nil"/>
              <w:left w:val="nil"/>
              <w:bottom w:val="nil"/>
              <w:right w:val="nil"/>
            </w:tcBorders>
            <w:noWrap/>
            <w:vAlign w:val="center"/>
            <w:hideMark/>
          </w:tcPr>
          <w:p w14:paraId="317B5A50" w14:textId="77777777" w:rsidR="00B77871" w:rsidRDefault="00B77871">
            <w:pPr>
              <w:rPr>
                <w:sz w:val="20"/>
                <w:szCs w:val="20"/>
              </w:rPr>
            </w:pPr>
          </w:p>
        </w:tc>
        <w:tc>
          <w:tcPr>
            <w:tcW w:w="1000" w:type="dxa"/>
            <w:tcBorders>
              <w:top w:val="nil"/>
              <w:left w:val="nil"/>
              <w:bottom w:val="nil"/>
              <w:right w:val="nil"/>
            </w:tcBorders>
            <w:noWrap/>
            <w:vAlign w:val="center"/>
            <w:hideMark/>
          </w:tcPr>
          <w:p w14:paraId="6444878E"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341130EC"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128E9B83"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03F0B8E6" w14:textId="77777777" w:rsidR="00B77871" w:rsidRDefault="00B77871">
            <w:pPr>
              <w:jc w:val="right"/>
              <w:rPr>
                <w:sz w:val="20"/>
                <w:szCs w:val="20"/>
              </w:rPr>
            </w:pPr>
          </w:p>
        </w:tc>
      </w:tr>
      <w:tr w:rsidR="00B77871" w14:paraId="4F339524" w14:textId="77777777" w:rsidTr="00DC6838">
        <w:trPr>
          <w:trHeight w:val="210"/>
        </w:trPr>
        <w:tc>
          <w:tcPr>
            <w:tcW w:w="4980" w:type="dxa"/>
            <w:tcBorders>
              <w:top w:val="single" w:sz="4" w:space="0" w:color="7F7F7F"/>
              <w:left w:val="nil"/>
              <w:bottom w:val="single" w:sz="4" w:space="0" w:color="7F7F7F"/>
              <w:right w:val="nil"/>
            </w:tcBorders>
            <w:shd w:val="clear" w:color="000000" w:fill="DCE6F1"/>
            <w:noWrap/>
            <w:vAlign w:val="center"/>
            <w:hideMark/>
          </w:tcPr>
          <w:p w14:paraId="150BE8D4" w14:textId="77777777" w:rsidR="00B77871" w:rsidRDefault="00B77871">
            <w:pPr>
              <w:rPr>
                <w:rFonts w:ascii="Arial" w:hAnsi="Arial" w:cs="Arial"/>
                <w:b/>
                <w:bCs/>
                <w:color w:val="000000"/>
                <w:sz w:val="16"/>
                <w:szCs w:val="16"/>
              </w:rPr>
            </w:pPr>
            <w:r>
              <w:rPr>
                <w:rFonts w:ascii="Arial" w:hAnsi="Arial" w:cs="Arial"/>
                <w:b/>
                <w:bCs/>
                <w:color w:val="000000"/>
                <w:sz w:val="16"/>
                <w:szCs w:val="16"/>
              </w:rPr>
              <w:t>Variation de trésorerie</w:t>
            </w:r>
          </w:p>
        </w:tc>
        <w:tc>
          <w:tcPr>
            <w:tcW w:w="185" w:type="dxa"/>
            <w:tcBorders>
              <w:top w:val="single" w:sz="4" w:space="0" w:color="7F7F7F"/>
              <w:left w:val="nil"/>
              <w:bottom w:val="single" w:sz="4" w:space="0" w:color="7F7F7F"/>
              <w:right w:val="nil"/>
            </w:tcBorders>
            <w:shd w:val="clear" w:color="000000" w:fill="DCE6F1"/>
            <w:noWrap/>
            <w:vAlign w:val="center"/>
            <w:hideMark/>
          </w:tcPr>
          <w:p w14:paraId="04EFD04E"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DCE6F1"/>
            <w:noWrap/>
            <w:vAlign w:val="center"/>
            <w:hideMark/>
          </w:tcPr>
          <w:p w14:paraId="7F16F827"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8 </w:t>
            </w:r>
          </w:p>
        </w:tc>
        <w:tc>
          <w:tcPr>
            <w:tcW w:w="1000" w:type="dxa"/>
            <w:tcBorders>
              <w:top w:val="single" w:sz="4" w:space="0" w:color="7F7F7F"/>
              <w:left w:val="nil"/>
              <w:bottom w:val="single" w:sz="4" w:space="0" w:color="7F7F7F"/>
              <w:right w:val="nil"/>
            </w:tcBorders>
            <w:shd w:val="clear" w:color="000000" w:fill="DCE6F1"/>
            <w:noWrap/>
            <w:vAlign w:val="center"/>
            <w:hideMark/>
          </w:tcPr>
          <w:p w14:paraId="2F3AFCBC"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9 </w:t>
            </w:r>
          </w:p>
        </w:tc>
        <w:tc>
          <w:tcPr>
            <w:tcW w:w="1000" w:type="dxa"/>
            <w:tcBorders>
              <w:top w:val="single" w:sz="4" w:space="0" w:color="7F7F7F"/>
              <w:left w:val="nil"/>
              <w:bottom w:val="single" w:sz="4" w:space="0" w:color="7F7F7F"/>
              <w:right w:val="nil"/>
            </w:tcBorders>
            <w:shd w:val="clear" w:color="000000" w:fill="DCE6F1"/>
            <w:noWrap/>
            <w:vAlign w:val="center"/>
            <w:hideMark/>
          </w:tcPr>
          <w:p w14:paraId="04FE88D9"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9 </w:t>
            </w:r>
          </w:p>
        </w:tc>
        <w:tc>
          <w:tcPr>
            <w:tcW w:w="1000" w:type="dxa"/>
            <w:tcBorders>
              <w:top w:val="single" w:sz="4" w:space="0" w:color="7F7F7F"/>
              <w:left w:val="nil"/>
              <w:bottom w:val="single" w:sz="4" w:space="0" w:color="7F7F7F"/>
              <w:right w:val="nil"/>
            </w:tcBorders>
            <w:shd w:val="clear" w:color="000000" w:fill="DCE6F1"/>
            <w:noWrap/>
            <w:vAlign w:val="center"/>
            <w:hideMark/>
          </w:tcPr>
          <w:p w14:paraId="33D4AA6D"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9 </w:t>
            </w:r>
          </w:p>
        </w:tc>
        <w:tc>
          <w:tcPr>
            <w:tcW w:w="1000" w:type="dxa"/>
            <w:tcBorders>
              <w:top w:val="single" w:sz="4" w:space="0" w:color="7F7F7F"/>
              <w:left w:val="nil"/>
              <w:bottom w:val="single" w:sz="4" w:space="0" w:color="7F7F7F"/>
              <w:right w:val="nil"/>
            </w:tcBorders>
            <w:shd w:val="clear" w:color="000000" w:fill="DCE6F1"/>
            <w:noWrap/>
            <w:vAlign w:val="center"/>
            <w:hideMark/>
          </w:tcPr>
          <w:p w14:paraId="009AD6EB"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10 </w:t>
            </w:r>
          </w:p>
        </w:tc>
      </w:tr>
      <w:tr w:rsidR="00B77871" w14:paraId="5666CFB3" w14:textId="77777777" w:rsidTr="00DC6838">
        <w:trPr>
          <w:trHeight w:val="108"/>
        </w:trPr>
        <w:tc>
          <w:tcPr>
            <w:tcW w:w="4980" w:type="dxa"/>
            <w:tcBorders>
              <w:top w:val="nil"/>
              <w:left w:val="nil"/>
              <w:bottom w:val="nil"/>
              <w:right w:val="nil"/>
            </w:tcBorders>
            <w:noWrap/>
            <w:vAlign w:val="center"/>
            <w:hideMark/>
          </w:tcPr>
          <w:p w14:paraId="08ED6085" w14:textId="77777777" w:rsidR="00B77871" w:rsidRDefault="00B7787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159C967A" w14:textId="77777777" w:rsidR="00B77871" w:rsidRDefault="00B77871">
            <w:pPr>
              <w:rPr>
                <w:sz w:val="20"/>
                <w:szCs w:val="20"/>
              </w:rPr>
            </w:pPr>
          </w:p>
        </w:tc>
        <w:tc>
          <w:tcPr>
            <w:tcW w:w="1000" w:type="dxa"/>
            <w:tcBorders>
              <w:top w:val="nil"/>
              <w:left w:val="nil"/>
              <w:bottom w:val="nil"/>
              <w:right w:val="nil"/>
            </w:tcBorders>
            <w:noWrap/>
            <w:vAlign w:val="center"/>
            <w:hideMark/>
          </w:tcPr>
          <w:p w14:paraId="334576BA" w14:textId="77777777" w:rsidR="00B77871" w:rsidRDefault="00B77871">
            <w:pPr>
              <w:rPr>
                <w:sz w:val="20"/>
                <w:szCs w:val="20"/>
              </w:rPr>
            </w:pPr>
          </w:p>
        </w:tc>
        <w:tc>
          <w:tcPr>
            <w:tcW w:w="1000" w:type="dxa"/>
            <w:tcBorders>
              <w:top w:val="nil"/>
              <w:left w:val="nil"/>
              <w:bottom w:val="nil"/>
              <w:right w:val="nil"/>
            </w:tcBorders>
            <w:noWrap/>
            <w:vAlign w:val="center"/>
            <w:hideMark/>
          </w:tcPr>
          <w:p w14:paraId="0AE87E16"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1439D488"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099B2446"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1FCB541E" w14:textId="77777777" w:rsidR="00B77871" w:rsidRDefault="00B77871">
            <w:pPr>
              <w:jc w:val="right"/>
              <w:rPr>
                <w:sz w:val="20"/>
                <w:szCs w:val="20"/>
              </w:rPr>
            </w:pPr>
          </w:p>
        </w:tc>
      </w:tr>
      <w:tr w:rsidR="00B77871" w14:paraId="23D82EAC" w14:textId="77777777" w:rsidTr="00DC6838">
        <w:trPr>
          <w:trHeight w:val="225"/>
        </w:trPr>
        <w:tc>
          <w:tcPr>
            <w:tcW w:w="4980" w:type="dxa"/>
            <w:tcBorders>
              <w:top w:val="single" w:sz="4" w:space="0" w:color="7F7F7F"/>
              <w:left w:val="nil"/>
              <w:bottom w:val="single" w:sz="4" w:space="0" w:color="7F7F7F"/>
              <w:right w:val="nil"/>
            </w:tcBorders>
            <w:shd w:val="clear" w:color="000000" w:fill="FFF2CC"/>
            <w:noWrap/>
            <w:vAlign w:val="center"/>
            <w:hideMark/>
          </w:tcPr>
          <w:p w14:paraId="413AE6D6" w14:textId="77777777" w:rsidR="00B77871" w:rsidRDefault="00B77871">
            <w:pPr>
              <w:rPr>
                <w:rFonts w:ascii="Arial" w:hAnsi="Arial" w:cs="Arial"/>
                <w:b/>
                <w:bCs/>
                <w:color w:val="000000"/>
                <w:sz w:val="16"/>
                <w:szCs w:val="16"/>
              </w:rPr>
            </w:pPr>
            <w:r>
              <w:rPr>
                <w:rFonts w:ascii="Arial" w:hAnsi="Arial" w:cs="Arial"/>
                <w:b/>
                <w:bCs/>
                <w:color w:val="000000"/>
                <w:sz w:val="16"/>
                <w:szCs w:val="16"/>
              </w:rPr>
              <w:t>Variation de trésorerie - Cumulée</w:t>
            </w:r>
          </w:p>
        </w:tc>
        <w:tc>
          <w:tcPr>
            <w:tcW w:w="185" w:type="dxa"/>
            <w:tcBorders>
              <w:top w:val="single" w:sz="4" w:space="0" w:color="7F7F7F"/>
              <w:left w:val="nil"/>
              <w:bottom w:val="single" w:sz="4" w:space="0" w:color="7F7F7F"/>
              <w:right w:val="nil"/>
            </w:tcBorders>
            <w:shd w:val="clear" w:color="000000" w:fill="FFF2CC"/>
            <w:noWrap/>
            <w:vAlign w:val="center"/>
            <w:hideMark/>
          </w:tcPr>
          <w:p w14:paraId="0BB66D4C"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FFF2CC"/>
            <w:noWrap/>
            <w:vAlign w:val="center"/>
            <w:hideMark/>
          </w:tcPr>
          <w:p w14:paraId="708BB002"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8 </w:t>
            </w:r>
          </w:p>
        </w:tc>
        <w:tc>
          <w:tcPr>
            <w:tcW w:w="1000" w:type="dxa"/>
            <w:tcBorders>
              <w:top w:val="single" w:sz="4" w:space="0" w:color="7F7F7F"/>
              <w:left w:val="nil"/>
              <w:bottom w:val="single" w:sz="4" w:space="0" w:color="7F7F7F"/>
              <w:right w:val="nil"/>
            </w:tcBorders>
            <w:shd w:val="clear" w:color="000000" w:fill="FFF2CC"/>
            <w:noWrap/>
            <w:vAlign w:val="center"/>
            <w:hideMark/>
          </w:tcPr>
          <w:p w14:paraId="39EC2DCB"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17 </w:t>
            </w:r>
          </w:p>
        </w:tc>
        <w:tc>
          <w:tcPr>
            <w:tcW w:w="1000" w:type="dxa"/>
            <w:tcBorders>
              <w:top w:val="single" w:sz="4" w:space="0" w:color="7F7F7F"/>
              <w:left w:val="nil"/>
              <w:bottom w:val="single" w:sz="4" w:space="0" w:color="7F7F7F"/>
              <w:right w:val="nil"/>
            </w:tcBorders>
            <w:shd w:val="clear" w:color="000000" w:fill="FFF2CC"/>
            <w:noWrap/>
            <w:vAlign w:val="center"/>
            <w:hideMark/>
          </w:tcPr>
          <w:p w14:paraId="34A5A255"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26 </w:t>
            </w:r>
          </w:p>
        </w:tc>
        <w:tc>
          <w:tcPr>
            <w:tcW w:w="1000" w:type="dxa"/>
            <w:tcBorders>
              <w:top w:val="single" w:sz="4" w:space="0" w:color="7F7F7F"/>
              <w:left w:val="nil"/>
              <w:bottom w:val="single" w:sz="4" w:space="0" w:color="7F7F7F"/>
              <w:right w:val="nil"/>
            </w:tcBorders>
            <w:shd w:val="clear" w:color="000000" w:fill="FFF2CC"/>
            <w:noWrap/>
            <w:vAlign w:val="center"/>
            <w:hideMark/>
          </w:tcPr>
          <w:p w14:paraId="51516BB2"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35 </w:t>
            </w:r>
          </w:p>
        </w:tc>
        <w:tc>
          <w:tcPr>
            <w:tcW w:w="1000" w:type="dxa"/>
            <w:tcBorders>
              <w:top w:val="single" w:sz="4" w:space="0" w:color="7F7F7F"/>
              <w:left w:val="nil"/>
              <w:bottom w:val="single" w:sz="4" w:space="0" w:color="7F7F7F"/>
              <w:right w:val="nil"/>
            </w:tcBorders>
            <w:shd w:val="clear" w:color="000000" w:fill="FFF2CC"/>
            <w:noWrap/>
            <w:vAlign w:val="center"/>
            <w:hideMark/>
          </w:tcPr>
          <w:p w14:paraId="3B9D7D2E"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45 </w:t>
            </w:r>
          </w:p>
        </w:tc>
      </w:tr>
      <w:tr w:rsidR="00B77871" w14:paraId="37D8E2E5" w14:textId="77777777" w:rsidTr="00DC6838">
        <w:trPr>
          <w:trHeight w:val="108"/>
        </w:trPr>
        <w:tc>
          <w:tcPr>
            <w:tcW w:w="4980" w:type="dxa"/>
            <w:tcBorders>
              <w:top w:val="nil"/>
              <w:left w:val="nil"/>
              <w:bottom w:val="nil"/>
              <w:right w:val="nil"/>
            </w:tcBorders>
            <w:noWrap/>
            <w:vAlign w:val="center"/>
            <w:hideMark/>
          </w:tcPr>
          <w:p w14:paraId="3783319C" w14:textId="77777777" w:rsidR="00B77871" w:rsidRDefault="00B77871">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3F12FF32" w14:textId="77777777" w:rsidR="00B77871" w:rsidRDefault="00B77871">
            <w:pPr>
              <w:rPr>
                <w:sz w:val="20"/>
                <w:szCs w:val="20"/>
              </w:rPr>
            </w:pPr>
          </w:p>
        </w:tc>
        <w:tc>
          <w:tcPr>
            <w:tcW w:w="1000" w:type="dxa"/>
            <w:tcBorders>
              <w:top w:val="nil"/>
              <w:left w:val="nil"/>
              <w:bottom w:val="nil"/>
              <w:right w:val="nil"/>
            </w:tcBorders>
            <w:noWrap/>
            <w:vAlign w:val="center"/>
            <w:hideMark/>
          </w:tcPr>
          <w:p w14:paraId="56D4EC9E" w14:textId="77777777" w:rsidR="00B77871" w:rsidRDefault="00B77871">
            <w:pPr>
              <w:rPr>
                <w:sz w:val="20"/>
                <w:szCs w:val="20"/>
              </w:rPr>
            </w:pPr>
          </w:p>
        </w:tc>
        <w:tc>
          <w:tcPr>
            <w:tcW w:w="1000" w:type="dxa"/>
            <w:tcBorders>
              <w:top w:val="nil"/>
              <w:left w:val="nil"/>
              <w:bottom w:val="nil"/>
              <w:right w:val="nil"/>
            </w:tcBorders>
            <w:noWrap/>
            <w:vAlign w:val="center"/>
            <w:hideMark/>
          </w:tcPr>
          <w:p w14:paraId="41863FDE"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564CF2A7"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6105C3B0" w14:textId="77777777" w:rsidR="00B77871" w:rsidRDefault="00B77871">
            <w:pPr>
              <w:jc w:val="right"/>
              <w:rPr>
                <w:sz w:val="20"/>
                <w:szCs w:val="20"/>
              </w:rPr>
            </w:pPr>
          </w:p>
        </w:tc>
        <w:tc>
          <w:tcPr>
            <w:tcW w:w="1000" w:type="dxa"/>
            <w:tcBorders>
              <w:top w:val="nil"/>
              <w:left w:val="nil"/>
              <w:bottom w:val="nil"/>
              <w:right w:val="nil"/>
            </w:tcBorders>
            <w:noWrap/>
            <w:vAlign w:val="center"/>
            <w:hideMark/>
          </w:tcPr>
          <w:p w14:paraId="35311AAB" w14:textId="77777777" w:rsidR="00B77871" w:rsidRDefault="00B77871">
            <w:pPr>
              <w:jc w:val="right"/>
              <w:rPr>
                <w:sz w:val="20"/>
                <w:szCs w:val="20"/>
              </w:rPr>
            </w:pPr>
          </w:p>
        </w:tc>
      </w:tr>
      <w:tr w:rsidR="00B77871" w14:paraId="632C1C99" w14:textId="77777777" w:rsidTr="00DC6838">
        <w:trPr>
          <w:trHeight w:val="210"/>
        </w:trPr>
        <w:tc>
          <w:tcPr>
            <w:tcW w:w="4980" w:type="dxa"/>
            <w:tcBorders>
              <w:top w:val="single" w:sz="4" w:space="0" w:color="7F7F7F"/>
              <w:left w:val="nil"/>
              <w:bottom w:val="nil"/>
              <w:right w:val="nil"/>
            </w:tcBorders>
            <w:shd w:val="clear" w:color="000000" w:fill="DCE6F1"/>
            <w:noWrap/>
            <w:vAlign w:val="center"/>
            <w:hideMark/>
          </w:tcPr>
          <w:p w14:paraId="16853DB1" w14:textId="77777777" w:rsidR="00B77871" w:rsidRDefault="00B77871">
            <w:pPr>
              <w:rPr>
                <w:rFonts w:ascii="Arial" w:hAnsi="Arial" w:cs="Arial"/>
                <w:b/>
                <w:bCs/>
                <w:color w:val="000000"/>
                <w:sz w:val="16"/>
                <w:szCs w:val="16"/>
              </w:rPr>
            </w:pPr>
            <w:r>
              <w:rPr>
                <w:rFonts w:ascii="Arial" w:hAnsi="Arial" w:cs="Arial"/>
                <w:b/>
                <w:bCs/>
                <w:color w:val="000000"/>
                <w:sz w:val="16"/>
                <w:szCs w:val="16"/>
              </w:rPr>
              <w:t>Trésorerie à l'ouverture</w:t>
            </w:r>
          </w:p>
        </w:tc>
        <w:tc>
          <w:tcPr>
            <w:tcW w:w="185" w:type="dxa"/>
            <w:tcBorders>
              <w:top w:val="single" w:sz="4" w:space="0" w:color="7F7F7F"/>
              <w:left w:val="nil"/>
              <w:bottom w:val="nil"/>
              <w:right w:val="nil"/>
            </w:tcBorders>
            <w:shd w:val="clear" w:color="000000" w:fill="DCE6F1"/>
            <w:noWrap/>
            <w:vAlign w:val="center"/>
            <w:hideMark/>
          </w:tcPr>
          <w:p w14:paraId="109C6241"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nil"/>
              <w:right w:val="nil"/>
            </w:tcBorders>
            <w:shd w:val="clear" w:color="000000" w:fill="DCE6F1"/>
            <w:noWrap/>
            <w:vAlign w:val="center"/>
            <w:hideMark/>
          </w:tcPr>
          <w:p w14:paraId="5A721EDE"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(1)</w:t>
            </w:r>
          </w:p>
        </w:tc>
        <w:tc>
          <w:tcPr>
            <w:tcW w:w="1000" w:type="dxa"/>
            <w:tcBorders>
              <w:top w:val="single" w:sz="4" w:space="0" w:color="7F7F7F"/>
              <w:left w:val="nil"/>
              <w:bottom w:val="nil"/>
              <w:right w:val="nil"/>
            </w:tcBorders>
            <w:shd w:val="clear" w:color="000000" w:fill="DCE6F1"/>
            <w:noWrap/>
            <w:vAlign w:val="center"/>
            <w:hideMark/>
          </w:tcPr>
          <w:p w14:paraId="671720E2"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7 </w:t>
            </w:r>
          </w:p>
        </w:tc>
        <w:tc>
          <w:tcPr>
            <w:tcW w:w="1000" w:type="dxa"/>
            <w:tcBorders>
              <w:top w:val="single" w:sz="4" w:space="0" w:color="7F7F7F"/>
              <w:left w:val="nil"/>
              <w:bottom w:val="nil"/>
              <w:right w:val="nil"/>
            </w:tcBorders>
            <w:shd w:val="clear" w:color="000000" w:fill="DCE6F1"/>
            <w:noWrap/>
            <w:vAlign w:val="center"/>
            <w:hideMark/>
          </w:tcPr>
          <w:p w14:paraId="7D557010"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15 </w:t>
            </w:r>
          </w:p>
        </w:tc>
        <w:tc>
          <w:tcPr>
            <w:tcW w:w="1000" w:type="dxa"/>
            <w:tcBorders>
              <w:top w:val="single" w:sz="4" w:space="0" w:color="7F7F7F"/>
              <w:left w:val="nil"/>
              <w:bottom w:val="nil"/>
              <w:right w:val="nil"/>
            </w:tcBorders>
            <w:shd w:val="clear" w:color="000000" w:fill="DCE6F1"/>
            <w:noWrap/>
            <w:vAlign w:val="center"/>
            <w:hideMark/>
          </w:tcPr>
          <w:p w14:paraId="51B92094"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25 </w:t>
            </w:r>
          </w:p>
        </w:tc>
        <w:tc>
          <w:tcPr>
            <w:tcW w:w="1000" w:type="dxa"/>
            <w:tcBorders>
              <w:top w:val="single" w:sz="4" w:space="0" w:color="7F7F7F"/>
              <w:left w:val="nil"/>
              <w:bottom w:val="nil"/>
              <w:right w:val="nil"/>
            </w:tcBorders>
            <w:shd w:val="clear" w:color="000000" w:fill="DCE6F1"/>
            <w:noWrap/>
            <w:vAlign w:val="center"/>
            <w:hideMark/>
          </w:tcPr>
          <w:p w14:paraId="4623B6E4"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34 </w:t>
            </w:r>
          </w:p>
        </w:tc>
      </w:tr>
      <w:tr w:rsidR="00B77871" w14:paraId="05618E3D" w14:textId="77777777" w:rsidTr="00DC6838">
        <w:trPr>
          <w:trHeight w:val="210"/>
        </w:trPr>
        <w:tc>
          <w:tcPr>
            <w:tcW w:w="4980" w:type="dxa"/>
            <w:tcBorders>
              <w:top w:val="nil"/>
              <w:left w:val="nil"/>
              <w:bottom w:val="single" w:sz="4" w:space="0" w:color="7F7F7F"/>
              <w:right w:val="nil"/>
            </w:tcBorders>
            <w:shd w:val="clear" w:color="000000" w:fill="DCE6F1"/>
            <w:noWrap/>
            <w:vAlign w:val="center"/>
            <w:hideMark/>
          </w:tcPr>
          <w:p w14:paraId="2E51F645" w14:textId="77777777" w:rsidR="00B77871" w:rsidRDefault="00B77871">
            <w:pPr>
              <w:rPr>
                <w:rFonts w:ascii="Arial" w:hAnsi="Arial" w:cs="Arial"/>
                <w:b/>
                <w:bCs/>
                <w:color w:val="000000"/>
                <w:sz w:val="16"/>
                <w:szCs w:val="16"/>
              </w:rPr>
            </w:pPr>
            <w:r>
              <w:rPr>
                <w:rFonts w:ascii="Arial" w:hAnsi="Arial" w:cs="Arial"/>
                <w:b/>
                <w:bCs/>
                <w:color w:val="000000"/>
                <w:sz w:val="16"/>
                <w:szCs w:val="16"/>
              </w:rPr>
              <w:t>Trésorerie à la clôture</w:t>
            </w:r>
          </w:p>
        </w:tc>
        <w:tc>
          <w:tcPr>
            <w:tcW w:w="185" w:type="dxa"/>
            <w:tcBorders>
              <w:top w:val="nil"/>
              <w:left w:val="nil"/>
              <w:bottom w:val="single" w:sz="4" w:space="0" w:color="7F7F7F"/>
              <w:right w:val="nil"/>
            </w:tcBorders>
            <w:shd w:val="clear" w:color="000000" w:fill="DCE6F1"/>
            <w:noWrap/>
            <w:vAlign w:val="center"/>
            <w:hideMark/>
          </w:tcPr>
          <w:p w14:paraId="196182FF" w14:textId="77777777" w:rsidR="00B77871" w:rsidRDefault="00B77871">
            <w:pPr>
              <w:rPr>
                <w:rFonts w:ascii="Arial" w:hAnsi="Arial" w:cs="Arial"/>
                <w:b/>
                <w:bCs/>
                <w:color w:val="000000"/>
                <w:sz w:val="16"/>
                <w:szCs w:val="16"/>
              </w:rPr>
            </w:pPr>
            <w:r>
              <w:rPr>
                <w:rFonts w:ascii="Arial" w:hAnsi="Arial" w:cs="Arial"/>
                <w:b/>
                <w:bCs/>
                <w:color w:val="000000"/>
                <w:sz w:val="16"/>
                <w:szCs w:val="16"/>
              </w:rPr>
              <w:t> </w:t>
            </w:r>
          </w:p>
        </w:tc>
        <w:tc>
          <w:tcPr>
            <w:tcW w:w="1000" w:type="dxa"/>
            <w:tcBorders>
              <w:top w:val="nil"/>
              <w:left w:val="nil"/>
              <w:bottom w:val="single" w:sz="4" w:space="0" w:color="7F7F7F"/>
              <w:right w:val="nil"/>
            </w:tcBorders>
            <w:shd w:val="clear" w:color="000000" w:fill="DCE6F1"/>
            <w:noWrap/>
            <w:vAlign w:val="center"/>
            <w:hideMark/>
          </w:tcPr>
          <w:p w14:paraId="4CEB2084"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7 </w:t>
            </w:r>
          </w:p>
        </w:tc>
        <w:tc>
          <w:tcPr>
            <w:tcW w:w="1000" w:type="dxa"/>
            <w:tcBorders>
              <w:top w:val="nil"/>
              <w:left w:val="nil"/>
              <w:bottom w:val="single" w:sz="4" w:space="0" w:color="7F7F7F"/>
              <w:right w:val="nil"/>
            </w:tcBorders>
            <w:shd w:val="clear" w:color="000000" w:fill="DCE6F1"/>
            <w:noWrap/>
            <w:vAlign w:val="center"/>
            <w:hideMark/>
          </w:tcPr>
          <w:p w14:paraId="734B4469"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15 </w:t>
            </w:r>
          </w:p>
        </w:tc>
        <w:tc>
          <w:tcPr>
            <w:tcW w:w="1000" w:type="dxa"/>
            <w:tcBorders>
              <w:top w:val="nil"/>
              <w:left w:val="nil"/>
              <w:bottom w:val="single" w:sz="4" w:space="0" w:color="7F7F7F"/>
              <w:right w:val="nil"/>
            </w:tcBorders>
            <w:shd w:val="clear" w:color="000000" w:fill="DCE6F1"/>
            <w:noWrap/>
            <w:vAlign w:val="center"/>
            <w:hideMark/>
          </w:tcPr>
          <w:p w14:paraId="298C75E5"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25 </w:t>
            </w:r>
          </w:p>
        </w:tc>
        <w:tc>
          <w:tcPr>
            <w:tcW w:w="1000" w:type="dxa"/>
            <w:tcBorders>
              <w:top w:val="nil"/>
              <w:left w:val="nil"/>
              <w:bottom w:val="single" w:sz="4" w:space="0" w:color="7F7F7F"/>
              <w:right w:val="nil"/>
            </w:tcBorders>
            <w:shd w:val="clear" w:color="000000" w:fill="DCE6F1"/>
            <w:noWrap/>
            <w:vAlign w:val="center"/>
            <w:hideMark/>
          </w:tcPr>
          <w:p w14:paraId="0C938E83"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34 </w:t>
            </w:r>
          </w:p>
        </w:tc>
        <w:tc>
          <w:tcPr>
            <w:tcW w:w="1000" w:type="dxa"/>
            <w:tcBorders>
              <w:top w:val="nil"/>
              <w:left w:val="nil"/>
              <w:bottom w:val="single" w:sz="4" w:space="0" w:color="7F7F7F"/>
              <w:right w:val="nil"/>
            </w:tcBorders>
            <w:shd w:val="clear" w:color="000000" w:fill="DCE6F1"/>
            <w:noWrap/>
            <w:vAlign w:val="center"/>
            <w:hideMark/>
          </w:tcPr>
          <w:p w14:paraId="13CEF389" w14:textId="77777777" w:rsidR="00B77871" w:rsidRDefault="00B77871">
            <w:pPr>
              <w:jc w:val="right"/>
              <w:rPr>
                <w:rFonts w:ascii="Arial" w:hAnsi="Arial" w:cs="Arial"/>
                <w:b/>
                <w:bCs/>
                <w:color w:val="000000"/>
                <w:sz w:val="16"/>
                <w:szCs w:val="16"/>
              </w:rPr>
            </w:pPr>
            <w:r>
              <w:rPr>
                <w:rFonts w:ascii="Arial" w:hAnsi="Arial" w:cs="Arial"/>
                <w:b/>
                <w:bCs/>
                <w:color w:val="000000"/>
                <w:sz w:val="16"/>
                <w:szCs w:val="16"/>
              </w:rPr>
              <w:t xml:space="preserve">44 </w:t>
            </w:r>
          </w:p>
        </w:tc>
      </w:tr>
    </w:tbl>
    <w:p w14:paraId="1D46E8FD" w14:textId="2DC8E67D" w:rsidR="00C95E25" w:rsidRPr="002C1C43" w:rsidRDefault="002C1C43" w:rsidP="002C1C43">
      <w:pPr>
        <w:keepNext/>
        <w:spacing w:line="259" w:lineRule="auto"/>
        <w:jc w:val="center"/>
        <w:rPr>
          <w:rFonts w:ascii="Calibri" w:hAnsi="Calibri" w:cs="Calibri"/>
          <w:bCs/>
          <w:i/>
          <w:iCs/>
          <w:sz w:val="20"/>
          <w:szCs w:val="20"/>
        </w:rPr>
      </w:pPr>
      <w:r w:rsidRPr="00DA3DC3">
        <w:rPr>
          <w:rFonts w:ascii="Calibri" w:hAnsi="Calibri" w:cs="Calibri"/>
          <w:bCs/>
          <w:i/>
          <w:iCs/>
          <w:sz w:val="20"/>
          <w:szCs w:val="20"/>
        </w:rPr>
        <w:t xml:space="preserve">Extrait rapport </w:t>
      </w:r>
      <w:proofErr w:type="spellStart"/>
      <w:r w:rsidRPr="00DA3DC3">
        <w:rPr>
          <w:rFonts w:ascii="Calibri" w:hAnsi="Calibri" w:cs="Calibri"/>
          <w:bCs/>
          <w:i/>
          <w:iCs/>
          <w:sz w:val="20"/>
          <w:szCs w:val="20"/>
        </w:rPr>
        <w:t>Accuracy</w:t>
      </w:r>
      <w:proofErr w:type="spellEnd"/>
      <w:r w:rsidRPr="00DA3DC3">
        <w:rPr>
          <w:rFonts w:ascii="Calibri" w:hAnsi="Calibri" w:cs="Calibri"/>
          <w:bCs/>
          <w:i/>
          <w:iCs/>
          <w:sz w:val="20"/>
          <w:szCs w:val="20"/>
        </w:rPr>
        <w:t xml:space="preserve"> en date du </w:t>
      </w:r>
      <w:r w:rsidR="00FB0548">
        <w:rPr>
          <w:rFonts w:ascii="Calibri" w:hAnsi="Calibri" w:cs="Calibri"/>
          <w:bCs/>
          <w:i/>
          <w:iCs/>
          <w:sz w:val="20"/>
          <w:szCs w:val="20"/>
        </w:rPr>
        <w:t>25 février 2026</w:t>
      </w:r>
    </w:p>
    <w:p w14:paraId="2C0AC3DF" w14:textId="77777777" w:rsidR="00416A16" w:rsidRDefault="00416A16" w:rsidP="00A556A4">
      <w:pPr>
        <w:numPr>
          <w:ilvl w:val="12"/>
          <w:numId w:val="0"/>
        </w:numPr>
        <w:rPr>
          <w:rFonts w:ascii="Calibri" w:hAnsi="Calibri" w:cs="Calibri"/>
          <w:sz w:val="22"/>
          <w:szCs w:val="22"/>
        </w:rPr>
      </w:pPr>
    </w:p>
    <w:p w14:paraId="19D08630" w14:textId="10FB2EF0" w:rsidR="00A556A4" w:rsidRPr="009D2EA3" w:rsidRDefault="008C35BA" w:rsidP="00A556A4">
      <w:pPr>
        <w:numPr>
          <w:ilvl w:val="12"/>
          <w:numId w:val="0"/>
        </w:numPr>
        <w:rPr>
          <w:rFonts w:ascii="Calibri" w:hAnsi="Calibri" w:cs="Calibri"/>
          <w:sz w:val="22"/>
          <w:szCs w:val="22"/>
        </w:rPr>
      </w:pPr>
      <w:r w:rsidRPr="008C35BA">
        <w:rPr>
          <w:rFonts w:ascii="Calibri" w:hAnsi="Calibri" w:cs="Calibri"/>
          <w:sz w:val="22"/>
          <w:szCs w:val="22"/>
        </w:rPr>
        <w:lastRenderedPageBreak/>
        <w:t>Au 25 février 2026, la Société dispose d’une trésorerie de 2 259,67 €</w:t>
      </w:r>
    </w:p>
    <w:p w14:paraId="6FB8AE2F" w14:textId="77777777" w:rsidR="00A556A4" w:rsidRPr="009D2EA3" w:rsidRDefault="00A556A4" w:rsidP="00A556A4">
      <w:pPr>
        <w:numPr>
          <w:ilvl w:val="12"/>
          <w:numId w:val="0"/>
        </w:numPr>
        <w:rPr>
          <w:rFonts w:ascii="Calibri" w:hAnsi="Calibri" w:cs="Calibri"/>
          <w:sz w:val="22"/>
          <w:szCs w:val="22"/>
        </w:rPr>
      </w:pPr>
    </w:p>
    <w:p w14:paraId="1AFF3D9C" w14:textId="677992DA" w:rsidR="00A556A4" w:rsidRPr="009D2EA3" w:rsidRDefault="00A556A4" w:rsidP="00A556A4">
      <w:pPr>
        <w:numPr>
          <w:ilvl w:val="12"/>
          <w:numId w:val="0"/>
        </w:numPr>
        <w:jc w:val="both"/>
        <w:rPr>
          <w:rFonts w:ascii="Calibri" w:hAnsi="Calibri" w:cs="Calibri"/>
          <w:b/>
          <w:bCs/>
          <w:sz w:val="22"/>
          <w:szCs w:val="22"/>
        </w:rPr>
      </w:pPr>
      <w:r w:rsidRPr="009D2EA3">
        <w:rPr>
          <w:rFonts w:ascii="Calibri" w:hAnsi="Calibri" w:cs="Calibri"/>
          <w:b/>
          <w:bCs/>
          <w:sz w:val="22"/>
          <w:szCs w:val="22"/>
        </w:rPr>
        <w:t xml:space="preserve">La prévision de trésorerie ne fait apparaitre aucune impasse sur sa durée. La trésorerie de la </w:t>
      </w:r>
      <w:r>
        <w:rPr>
          <w:rFonts w:ascii="Calibri" w:hAnsi="Calibri" w:cs="Calibri"/>
          <w:b/>
          <w:bCs/>
          <w:sz w:val="22"/>
          <w:szCs w:val="22"/>
        </w:rPr>
        <w:t>S</w:t>
      </w:r>
      <w:r w:rsidRPr="009D2EA3">
        <w:rPr>
          <w:rFonts w:ascii="Calibri" w:hAnsi="Calibri" w:cs="Calibri"/>
          <w:b/>
          <w:bCs/>
          <w:sz w:val="22"/>
          <w:szCs w:val="22"/>
        </w:rPr>
        <w:t xml:space="preserve">ociété </w:t>
      </w:r>
      <w:r>
        <w:rPr>
          <w:rFonts w:ascii="Calibri" w:hAnsi="Calibri" w:cs="Calibri"/>
          <w:b/>
          <w:bCs/>
          <w:sz w:val="22"/>
          <w:szCs w:val="22"/>
        </w:rPr>
        <w:t>se</w:t>
      </w:r>
      <w:r w:rsidRPr="009D2EA3">
        <w:rPr>
          <w:rFonts w:ascii="Calibri" w:hAnsi="Calibri" w:cs="Calibri"/>
          <w:b/>
          <w:bCs/>
          <w:sz w:val="22"/>
          <w:szCs w:val="22"/>
        </w:rPr>
        <w:t xml:space="preserve"> reconstituant progressivement, pour atteindre </w:t>
      </w:r>
      <w:r w:rsidR="002C1C43">
        <w:rPr>
          <w:rFonts w:ascii="Calibri" w:hAnsi="Calibri" w:cs="Calibri"/>
          <w:b/>
          <w:bCs/>
          <w:sz w:val="22"/>
          <w:szCs w:val="22"/>
        </w:rPr>
        <w:t>44</w:t>
      </w:r>
      <w:r w:rsidRPr="009D2EA3">
        <w:rPr>
          <w:rFonts w:ascii="Calibri" w:hAnsi="Calibri" w:cs="Calibri"/>
          <w:b/>
          <w:bCs/>
          <w:sz w:val="22"/>
          <w:szCs w:val="22"/>
        </w:rPr>
        <w:t xml:space="preserve">k€ en </w:t>
      </w:r>
      <w:r w:rsidR="00CD66B6">
        <w:rPr>
          <w:rFonts w:ascii="Calibri" w:hAnsi="Calibri" w:cs="Calibri"/>
          <w:b/>
          <w:bCs/>
          <w:sz w:val="22"/>
          <w:szCs w:val="22"/>
        </w:rPr>
        <w:t>mars</w:t>
      </w:r>
      <w:r w:rsidR="00125622">
        <w:rPr>
          <w:rFonts w:ascii="Calibri" w:hAnsi="Calibri" w:cs="Calibri"/>
          <w:b/>
          <w:bCs/>
          <w:sz w:val="22"/>
          <w:szCs w:val="22"/>
        </w:rPr>
        <w:t xml:space="preserve"> 203</w:t>
      </w:r>
      <w:r w:rsidR="00CD66B6">
        <w:rPr>
          <w:rFonts w:ascii="Calibri" w:hAnsi="Calibri" w:cs="Calibri"/>
          <w:b/>
          <w:bCs/>
          <w:sz w:val="22"/>
          <w:szCs w:val="22"/>
        </w:rPr>
        <w:t>1</w:t>
      </w:r>
      <w:r w:rsidRPr="009D2EA3">
        <w:rPr>
          <w:rFonts w:ascii="Calibri" w:hAnsi="Calibri" w:cs="Calibri"/>
          <w:b/>
          <w:bCs/>
          <w:sz w:val="22"/>
          <w:szCs w:val="22"/>
        </w:rPr>
        <w:t>.</w:t>
      </w:r>
    </w:p>
    <w:p w14:paraId="260D769F" w14:textId="51C7AD06" w:rsidR="005C349A" w:rsidRDefault="005C349A"/>
    <w:p w14:paraId="774182D3" w14:textId="72BB3312" w:rsidR="00DC41D4" w:rsidRPr="00003E07" w:rsidRDefault="00DC41D4" w:rsidP="00DC41D4">
      <w:pPr>
        <w:numPr>
          <w:ilvl w:val="12"/>
          <w:numId w:val="0"/>
        </w:numPr>
        <w:jc w:val="both"/>
        <w:rPr>
          <w:rFonts w:ascii="Calibri" w:hAnsi="Calibri" w:cs="Calibri"/>
          <w:sz w:val="22"/>
          <w:szCs w:val="22"/>
        </w:rPr>
      </w:pPr>
      <w:r w:rsidRPr="00003E07">
        <w:rPr>
          <w:rFonts w:ascii="Calibri" w:hAnsi="Calibri" w:cs="Calibri"/>
          <w:sz w:val="22"/>
          <w:szCs w:val="22"/>
        </w:rPr>
        <w:t xml:space="preserve">La prévision </w:t>
      </w:r>
      <w:r>
        <w:rPr>
          <w:rFonts w:ascii="Calibri" w:hAnsi="Calibri" w:cs="Calibri"/>
          <w:sz w:val="22"/>
          <w:szCs w:val="22"/>
        </w:rPr>
        <w:t>de trésorerie</w:t>
      </w:r>
      <w:r w:rsidRPr="00003E07">
        <w:rPr>
          <w:rFonts w:ascii="Calibri" w:hAnsi="Calibri" w:cs="Calibri"/>
          <w:sz w:val="22"/>
          <w:szCs w:val="22"/>
        </w:rPr>
        <w:t xml:space="preserve"> annuelle sur la durée du projet de plan, établie </w:t>
      </w:r>
      <w:r w:rsidR="00A82B37">
        <w:rPr>
          <w:rFonts w:ascii="Calibri" w:hAnsi="Calibri" w:cs="Calibri"/>
          <w:sz w:val="22"/>
          <w:szCs w:val="22"/>
        </w:rPr>
        <w:t xml:space="preserve">par le management et </w:t>
      </w:r>
      <w:r w:rsidR="00182CD7">
        <w:rPr>
          <w:rFonts w:ascii="Calibri" w:hAnsi="Calibri" w:cs="Calibri"/>
          <w:sz w:val="22"/>
          <w:szCs w:val="22"/>
        </w:rPr>
        <w:t>revue</w:t>
      </w:r>
      <w:r w:rsidR="00182CD7" w:rsidRPr="00003E07">
        <w:rPr>
          <w:rFonts w:ascii="Calibri" w:hAnsi="Calibri" w:cs="Calibri"/>
          <w:sz w:val="22"/>
          <w:szCs w:val="22"/>
        </w:rPr>
        <w:t xml:space="preserve"> </w:t>
      </w:r>
      <w:r w:rsidRPr="00003E07">
        <w:rPr>
          <w:rFonts w:ascii="Calibri" w:hAnsi="Calibri" w:cs="Calibri"/>
          <w:sz w:val="22"/>
          <w:szCs w:val="22"/>
        </w:rPr>
        <w:t xml:space="preserve">par le cabinet </w:t>
      </w:r>
      <w:proofErr w:type="spellStart"/>
      <w:r w:rsidRPr="00003E07">
        <w:rPr>
          <w:rFonts w:ascii="Calibri" w:hAnsi="Calibri" w:cs="Calibri"/>
          <w:sz w:val="22"/>
          <w:szCs w:val="22"/>
        </w:rPr>
        <w:t>Accuracy</w:t>
      </w:r>
      <w:proofErr w:type="spellEnd"/>
      <w:r w:rsidRPr="00003E07">
        <w:rPr>
          <w:rFonts w:ascii="Calibri" w:hAnsi="Calibri" w:cs="Calibri"/>
          <w:sz w:val="22"/>
          <w:szCs w:val="22"/>
        </w:rPr>
        <w:t xml:space="preserve">, </w:t>
      </w:r>
      <w:r w:rsidRPr="00C7583F">
        <w:rPr>
          <w:rFonts w:ascii="Calibri" w:hAnsi="Calibri" w:cs="Calibri"/>
          <w:b/>
          <w:bCs/>
          <w:sz w:val="22"/>
          <w:szCs w:val="22"/>
          <w:u w:val="single"/>
        </w:rPr>
        <w:t>en ce compris les</w:t>
      </w:r>
      <w:r w:rsidR="00C7583F" w:rsidRPr="00C7583F">
        <w:rPr>
          <w:rFonts w:ascii="Calibri" w:hAnsi="Calibri" w:cs="Calibri"/>
          <w:b/>
          <w:bCs/>
          <w:sz w:val="22"/>
          <w:szCs w:val="22"/>
          <w:u w:val="single"/>
        </w:rPr>
        <w:t xml:space="preserve"> échéances d’apurement du plan</w:t>
      </w:r>
      <w:r w:rsidR="00BC72A9">
        <w:rPr>
          <w:rFonts w:ascii="Calibri" w:hAnsi="Calibri" w:cs="Calibri"/>
          <w:b/>
          <w:bCs/>
          <w:sz w:val="22"/>
          <w:szCs w:val="22"/>
          <w:u w:val="single"/>
        </w:rPr>
        <w:t xml:space="preserve"> (intégrant le règlement des intérêts à échoir)</w:t>
      </w:r>
      <w:r w:rsidR="00C7583F">
        <w:rPr>
          <w:rFonts w:ascii="Calibri" w:hAnsi="Calibri" w:cs="Calibri"/>
          <w:sz w:val="22"/>
          <w:szCs w:val="22"/>
        </w:rPr>
        <w:t xml:space="preserve">, </w:t>
      </w:r>
      <w:r w:rsidRPr="00003E07">
        <w:rPr>
          <w:rFonts w:ascii="Calibri" w:hAnsi="Calibri" w:cs="Calibri"/>
          <w:sz w:val="22"/>
          <w:szCs w:val="22"/>
        </w:rPr>
        <w:t>est reproduite ci-après.</w:t>
      </w:r>
    </w:p>
    <w:p w14:paraId="392283B7" w14:textId="77777777" w:rsidR="00BE2436" w:rsidRDefault="00BE2436"/>
    <w:tbl>
      <w:tblPr>
        <w:tblW w:w="10165" w:type="dxa"/>
        <w:tblInd w:w="-567" w:type="dxa"/>
        <w:tblCellMar>
          <w:left w:w="70" w:type="dxa"/>
          <w:right w:w="70" w:type="dxa"/>
        </w:tblCellMar>
        <w:tblLook w:val="04A0" w:firstRow="1" w:lastRow="0" w:firstColumn="1" w:lastColumn="0" w:noHBand="0" w:noVBand="1"/>
      </w:tblPr>
      <w:tblGrid>
        <w:gridCol w:w="4980"/>
        <w:gridCol w:w="185"/>
        <w:gridCol w:w="1000"/>
        <w:gridCol w:w="1000"/>
        <w:gridCol w:w="1000"/>
        <w:gridCol w:w="1000"/>
        <w:gridCol w:w="1000"/>
      </w:tblGrid>
      <w:tr w:rsidR="00A826A8" w14:paraId="69E76E4F" w14:textId="77777777" w:rsidTr="00A826A8">
        <w:trPr>
          <w:trHeight w:val="210"/>
        </w:trPr>
        <w:tc>
          <w:tcPr>
            <w:tcW w:w="4980" w:type="dxa"/>
            <w:tcBorders>
              <w:top w:val="nil"/>
              <w:left w:val="nil"/>
              <w:bottom w:val="nil"/>
              <w:right w:val="nil"/>
            </w:tcBorders>
            <w:noWrap/>
            <w:vAlign w:val="center"/>
            <w:hideMark/>
          </w:tcPr>
          <w:p w14:paraId="3D96B32F" w14:textId="77777777" w:rsidR="00A826A8" w:rsidRDefault="00A826A8">
            <w:pPr>
              <w:rPr>
                <w:sz w:val="20"/>
                <w:szCs w:val="20"/>
              </w:rPr>
            </w:pPr>
          </w:p>
        </w:tc>
        <w:tc>
          <w:tcPr>
            <w:tcW w:w="185" w:type="dxa"/>
            <w:tcBorders>
              <w:top w:val="nil"/>
              <w:left w:val="nil"/>
              <w:bottom w:val="nil"/>
              <w:right w:val="nil"/>
            </w:tcBorders>
            <w:vAlign w:val="center"/>
            <w:hideMark/>
          </w:tcPr>
          <w:p w14:paraId="5964EA0A" w14:textId="77777777" w:rsidR="00A826A8" w:rsidRDefault="00A826A8">
            <w:pPr>
              <w:rPr>
                <w:sz w:val="20"/>
                <w:szCs w:val="20"/>
              </w:rPr>
            </w:pPr>
          </w:p>
        </w:tc>
        <w:tc>
          <w:tcPr>
            <w:tcW w:w="1000" w:type="dxa"/>
            <w:tcBorders>
              <w:top w:val="nil"/>
              <w:left w:val="nil"/>
              <w:bottom w:val="nil"/>
              <w:right w:val="nil"/>
            </w:tcBorders>
            <w:vAlign w:val="center"/>
            <w:hideMark/>
          </w:tcPr>
          <w:p w14:paraId="0F7364EB"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-26</w:t>
            </w:r>
          </w:p>
        </w:tc>
        <w:tc>
          <w:tcPr>
            <w:tcW w:w="1000" w:type="dxa"/>
            <w:tcBorders>
              <w:top w:val="nil"/>
              <w:left w:val="nil"/>
              <w:bottom w:val="nil"/>
              <w:right w:val="nil"/>
            </w:tcBorders>
            <w:vAlign w:val="center"/>
            <w:hideMark/>
          </w:tcPr>
          <w:p w14:paraId="58F33255"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1000" w:type="dxa"/>
            <w:tcBorders>
              <w:top w:val="nil"/>
              <w:left w:val="nil"/>
              <w:bottom w:val="nil"/>
              <w:right w:val="nil"/>
            </w:tcBorders>
            <w:vAlign w:val="center"/>
            <w:hideMark/>
          </w:tcPr>
          <w:p w14:paraId="04DED21B"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1000" w:type="dxa"/>
            <w:tcBorders>
              <w:top w:val="nil"/>
              <w:left w:val="nil"/>
              <w:bottom w:val="nil"/>
              <w:right w:val="nil"/>
            </w:tcBorders>
            <w:vAlign w:val="center"/>
            <w:hideMark/>
          </w:tcPr>
          <w:p w14:paraId="732F0682"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1000" w:type="dxa"/>
            <w:tcBorders>
              <w:top w:val="nil"/>
              <w:left w:val="nil"/>
              <w:bottom w:val="nil"/>
              <w:right w:val="nil"/>
            </w:tcBorders>
            <w:vAlign w:val="center"/>
            <w:hideMark/>
          </w:tcPr>
          <w:p w14:paraId="6E19ABF9"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r>
      <w:tr w:rsidR="00A826A8" w14:paraId="2C171A46" w14:textId="77777777" w:rsidTr="00A826A8">
        <w:trPr>
          <w:trHeight w:val="210"/>
        </w:trPr>
        <w:tc>
          <w:tcPr>
            <w:tcW w:w="4980" w:type="dxa"/>
            <w:tcBorders>
              <w:top w:val="nil"/>
              <w:left w:val="nil"/>
              <w:bottom w:val="single" w:sz="4" w:space="0" w:color="000000"/>
              <w:right w:val="nil"/>
            </w:tcBorders>
            <w:noWrap/>
            <w:vAlign w:val="center"/>
            <w:hideMark/>
          </w:tcPr>
          <w:p w14:paraId="6E7FBA77" w14:textId="77777777" w:rsidR="00A826A8" w:rsidRDefault="00A826A8">
            <w:pPr>
              <w:rPr>
                <w:rFonts w:ascii="Arial" w:hAnsi="Arial" w:cs="Arial"/>
                <w:b/>
                <w:bCs/>
                <w:color w:val="000000"/>
                <w:sz w:val="16"/>
                <w:szCs w:val="16"/>
              </w:rPr>
            </w:pPr>
            <w:r>
              <w:rPr>
                <w:rFonts w:ascii="Arial" w:hAnsi="Arial" w:cs="Arial"/>
                <w:b/>
                <w:bCs/>
                <w:color w:val="000000"/>
                <w:sz w:val="16"/>
                <w:szCs w:val="16"/>
              </w:rPr>
              <w:t>En k€</w:t>
            </w:r>
          </w:p>
        </w:tc>
        <w:tc>
          <w:tcPr>
            <w:tcW w:w="185" w:type="dxa"/>
            <w:tcBorders>
              <w:top w:val="nil"/>
              <w:left w:val="nil"/>
              <w:bottom w:val="single" w:sz="4" w:space="0" w:color="000000"/>
              <w:right w:val="nil"/>
            </w:tcBorders>
            <w:vAlign w:val="center"/>
            <w:hideMark/>
          </w:tcPr>
          <w:p w14:paraId="35216B68"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nil"/>
              <w:left w:val="nil"/>
              <w:bottom w:val="single" w:sz="4" w:space="0" w:color="000000"/>
              <w:right w:val="nil"/>
            </w:tcBorders>
            <w:vAlign w:val="center"/>
            <w:hideMark/>
          </w:tcPr>
          <w:p w14:paraId="5E223824"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-27</w:t>
            </w:r>
          </w:p>
        </w:tc>
        <w:tc>
          <w:tcPr>
            <w:tcW w:w="1000" w:type="dxa"/>
            <w:tcBorders>
              <w:top w:val="nil"/>
              <w:left w:val="nil"/>
              <w:bottom w:val="single" w:sz="4" w:space="0" w:color="000000"/>
              <w:right w:val="nil"/>
            </w:tcBorders>
            <w:vAlign w:val="center"/>
            <w:hideMark/>
          </w:tcPr>
          <w:p w14:paraId="61D0A23B"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-28</w:t>
            </w:r>
          </w:p>
        </w:tc>
        <w:tc>
          <w:tcPr>
            <w:tcW w:w="1000" w:type="dxa"/>
            <w:tcBorders>
              <w:top w:val="nil"/>
              <w:left w:val="nil"/>
              <w:bottom w:val="single" w:sz="4" w:space="0" w:color="000000"/>
              <w:right w:val="nil"/>
            </w:tcBorders>
            <w:vAlign w:val="center"/>
            <w:hideMark/>
          </w:tcPr>
          <w:p w14:paraId="1BEC9384"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-29</w:t>
            </w:r>
          </w:p>
        </w:tc>
        <w:tc>
          <w:tcPr>
            <w:tcW w:w="1000" w:type="dxa"/>
            <w:tcBorders>
              <w:top w:val="nil"/>
              <w:left w:val="nil"/>
              <w:bottom w:val="single" w:sz="4" w:space="0" w:color="000000"/>
              <w:right w:val="nil"/>
            </w:tcBorders>
            <w:vAlign w:val="center"/>
            <w:hideMark/>
          </w:tcPr>
          <w:p w14:paraId="5DE3FFE0"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-30</w:t>
            </w:r>
          </w:p>
        </w:tc>
        <w:tc>
          <w:tcPr>
            <w:tcW w:w="1000" w:type="dxa"/>
            <w:tcBorders>
              <w:top w:val="nil"/>
              <w:left w:val="nil"/>
              <w:bottom w:val="single" w:sz="4" w:space="0" w:color="000000"/>
              <w:right w:val="nil"/>
            </w:tcBorders>
            <w:vAlign w:val="center"/>
            <w:hideMark/>
          </w:tcPr>
          <w:p w14:paraId="0EDC14D0" w14:textId="77777777" w:rsidR="00A826A8" w:rsidRDefault="00A826A8">
            <w:pPr>
              <w:jc w:val="right"/>
              <w:rPr>
                <w:rFonts w:ascii="Arial" w:hAnsi="Arial" w:cs="Arial"/>
                <w:b/>
                <w:bCs/>
                <w:color w:val="000000"/>
                <w:sz w:val="16"/>
                <w:szCs w:val="16"/>
              </w:rPr>
            </w:pPr>
            <w:proofErr w:type="gramStart"/>
            <w:r>
              <w:rPr>
                <w:rFonts w:ascii="Arial" w:hAnsi="Arial" w:cs="Arial"/>
                <w:b/>
                <w:bCs/>
                <w:color w:val="000000"/>
                <w:sz w:val="16"/>
                <w:szCs w:val="16"/>
              </w:rPr>
              <w:t>mars</w:t>
            </w:r>
            <w:proofErr w:type="gramEnd"/>
            <w:r>
              <w:rPr>
                <w:rFonts w:ascii="Arial" w:hAnsi="Arial" w:cs="Arial"/>
                <w:b/>
                <w:bCs/>
                <w:color w:val="000000"/>
                <w:sz w:val="16"/>
                <w:szCs w:val="16"/>
              </w:rPr>
              <w:t>-31</w:t>
            </w:r>
          </w:p>
        </w:tc>
      </w:tr>
      <w:tr w:rsidR="00A826A8" w14:paraId="76D0EE9B" w14:textId="77777777" w:rsidTr="00A826A8">
        <w:trPr>
          <w:trHeight w:val="108"/>
        </w:trPr>
        <w:tc>
          <w:tcPr>
            <w:tcW w:w="4980" w:type="dxa"/>
            <w:tcBorders>
              <w:top w:val="nil"/>
              <w:left w:val="nil"/>
              <w:bottom w:val="nil"/>
              <w:right w:val="nil"/>
            </w:tcBorders>
            <w:noWrap/>
            <w:vAlign w:val="center"/>
            <w:hideMark/>
          </w:tcPr>
          <w:p w14:paraId="0D57B770"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79250C84" w14:textId="77777777" w:rsidR="00A826A8" w:rsidRDefault="00A826A8">
            <w:pPr>
              <w:rPr>
                <w:sz w:val="20"/>
                <w:szCs w:val="20"/>
              </w:rPr>
            </w:pPr>
          </w:p>
        </w:tc>
        <w:tc>
          <w:tcPr>
            <w:tcW w:w="1000" w:type="dxa"/>
            <w:tcBorders>
              <w:top w:val="nil"/>
              <w:left w:val="nil"/>
              <w:bottom w:val="nil"/>
              <w:right w:val="nil"/>
            </w:tcBorders>
            <w:noWrap/>
            <w:vAlign w:val="center"/>
            <w:hideMark/>
          </w:tcPr>
          <w:p w14:paraId="1D5E1313" w14:textId="77777777" w:rsidR="00A826A8" w:rsidRDefault="00A826A8">
            <w:pPr>
              <w:rPr>
                <w:sz w:val="20"/>
                <w:szCs w:val="20"/>
              </w:rPr>
            </w:pPr>
          </w:p>
        </w:tc>
        <w:tc>
          <w:tcPr>
            <w:tcW w:w="1000" w:type="dxa"/>
            <w:tcBorders>
              <w:top w:val="nil"/>
              <w:left w:val="nil"/>
              <w:bottom w:val="nil"/>
              <w:right w:val="nil"/>
            </w:tcBorders>
            <w:noWrap/>
            <w:vAlign w:val="center"/>
            <w:hideMark/>
          </w:tcPr>
          <w:p w14:paraId="3D0E81C4" w14:textId="77777777" w:rsidR="00A826A8" w:rsidRDefault="00A826A8">
            <w:pPr>
              <w:rPr>
                <w:sz w:val="20"/>
                <w:szCs w:val="20"/>
              </w:rPr>
            </w:pPr>
          </w:p>
        </w:tc>
        <w:tc>
          <w:tcPr>
            <w:tcW w:w="1000" w:type="dxa"/>
            <w:tcBorders>
              <w:top w:val="nil"/>
              <w:left w:val="nil"/>
              <w:bottom w:val="nil"/>
              <w:right w:val="nil"/>
            </w:tcBorders>
            <w:noWrap/>
            <w:vAlign w:val="center"/>
            <w:hideMark/>
          </w:tcPr>
          <w:p w14:paraId="70950914" w14:textId="77777777" w:rsidR="00A826A8" w:rsidRDefault="00A826A8">
            <w:pPr>
              <w:rPr>
                <w:sz w:val="20"/>
                <w:szCs w:val="20"/>
              </w:rPr>
            </w:pPr>
          </w:p>
        </w:tc>
        <w:tc>
          <w:tcPr>
            <w:tcW w:w="1000" w:type="dxa"/>
            <w:tcBorders>
              <w:top w:val="nil"/>
              <w:left w:val="nil"/>
              <w:bottom w:val="nil"/>
              <w:right w:val="nil"/>
            </w:tcBorders>
            <w:noWrap/>
            <w:vAlign w:val="center"/>
            <w:hideMark/>
          </w:tcPr>
          <w:p w14:paraId="208A2C0B" w14:textId="77777777" w:rsidR="00A826A8" w:rsidRDefault="00A826A8">
            <w:pPr>
              <w:rPr>
                <w:sz w:val="20"/>
                <w:szCs w:val="20"/>
              </w:rPr>
            </w:pPr>
          </w:p>
        </w:tc>
        <w:tc>
          <w:tcPr>
            <w:tcW w:w="1000" w:type="dxa"/>
            <w:tcBorders>
              <w:top w:val="nil"/>
              <w:left w:val="nil"/>
              <w:bottom w:val="nil"/>
              <w:right w:val="nil"/>
            </w:tcBorders>
            <w:noWrap/>
            <w:vAlign w:val="center"/>
            <w:hideMark/>
          </w:tcPr>
          <w:p w14:paraId="6FC86B80" w14:textId="77777777" w:rsidR="00A826A8" w:rsidRDefault="00A826A8">
            <w:pPr>
              <w:rPr>
                <w:sz w:val="20"/>
                <w:szCs w:val="20"/>
              </w:rPr>
            </w:pPr>
          </w:p>
        </w:tc>
      </w:tr>
      <w:tr w:rsidR="00A826A8" w14:paraId="24662B6C" w14:textId="77777777" w:rsidTr="00A826A8">
        <w:trPr>
          <w:trHeight w:val="200"/>
        </w:trPr>
        <w:tc>
          <w:tcPr>
            <w:tcW w:w="4980" w:type="dxa"/>
            <w:tcBorders>
              <w:top w:val="single" w:sz="4" w:space="0" w:color="7F7F7F"/>
              <w:left w:val="nil"/>
              <w:bottom w:val="nil"/>
              <w:right w:val="nil"/>
            </w:tcBorders>
            <w:shd w:val="clear" w:color="000000" w:fill="F2F2F2"/>
            <w:noWrap/>
            <w:vAlign w:val="center"/>
            <w:hideMark/>
          </w:tcPr>
          <w:p w14:paraId="485E99BC" w14:textId="77777777" w:rsidR="00A826A8" w:rsidRDefault="00A826A8">
            <w:pPr>
              <w:rPr>
                <w:rFonts w:ascii="Arial" w:hAnsi="Arial" w:cs="Arial"/>
                <w:sz w:val="16"/>
                <w:szCs w:val="16"/>
              </w:rPr>
            </w:pPr>
            <w:r>
              <w:rPr>
                <w:rFonts w:ascii="Arial" w:hAnsi="Arial" w:cs="Arial"/>
                <w:sz w:val="16"/>
                <w:szCs w:val="16"/>
              </w:rPr>
              <w:t>Montant à rembourser - Ouverture</w:t>
            </w:r>
          </w:p>
        </w:tc>
        <w:tc>
          <w:tcPr>
            <w:tcW w:w="185" w:type="dxa"/>
            <w:tcBorders>
              <w:top w:val="single" w:sz="4" w:space="0" w:color="7F7F7F"/>
              <w:left w:val="nil"/>
              <w:bottom w:val="nil"/>
              <w:right w:val="nil"/>
            </w:tcBorders>
            <w:shd w:val="clear" w:color="000000" w:fill="F2F2F2"/>
            <w:noWrap/>
            <w:vAlign w:val="center"/>
            <w:hideMark/>
          </w:tcPr>
          <w:p w14:paraId="703C8AA6" w14:textId="77777777" w:rsidR="00A826A8" w:rsidRDefault="00A826A8">
            <w:pPr>
              <w:jc w:val="right"/>
              <w:rPr>
                <w:rFonts w:ascii="Arial" w:hAnsi="Arial" w:cs="Arial"/>
                <w:sz w:val="16"/>
                <w:szCs w:val="16"/>
              </w:rPr>
            </w:pPr>
            <w:r>
              <w:rPr>
                <w:rFonts w:ascii="Arial" w:hAnsi="Arial" w:cs="Arial"/>
                <w:sz w:val="16"/>
                <w:szCs w:val="16"/>
              </w:rPr>
              <w:t> </w:t>
            </w:r>
          </w:p>
        </w:tc>
        <w:tc>
          <w:tcPr>
            <w:tcW w:w="1000" w:type="dxa"/>
            <w:tcBorders>
              <w:top w:val="single" w:sz="4" w:space="0" w:color="7F7F7F"/>
              <w:left w:val="nil"/>
              <w:bottom w:val="nil"/>
              <w:right w:val="nil"/>
            </w:tcBorders>
            <w:shd w:val="clear" w:color="000000" w:fill="F2F2F2"/>
            <w:noWrap/>
            <w:vAlign w:val="center"/>
            <w:hideMark/>
          </w:tcPr>
          <w:p w14:paraId="5D9FFBD6" w14:textId="77777777" w:rsidR="00A826A8" w:rsidRDefault="00A826A8">
            <w:pPr>
              <w:jc w:val="right"/>
              <w:rPr>
                <w:rFonts w:ascii="Arial" w:hAnsi="Arial" w:cs="Arial"/>
                <w:sz w:val="16"/>
                <w:szCs w:val="16"/>
              </w:rPr>
            </w:pPr>
            <w:r>
              <w:rPr>
                <w:rFonts w:ascii="Arial" w:hAnsi="Arial" w:cs="Arial"/>
                <w:sz w:val="16"/>
                <w:szCs w:val="16"/>
              </w:rPr>
              <w:t xml:space="preserve">192 </w:t>
            </w:r>
          </w:p>
        </w:tc>
        <w:tc>
          <w:tcPr>
            <w:tcW w:w="1000" w:type="dxa"/>
            <w:tcBorders>
              <w:top w:val="single" w:sz="4" w:space="0" w:color="7F7F7F"/>
              <w:left w:val="nil"/>
              <w:bottom w:val="nil"/>
              <w:right w:val="nil"/>
            </w:tcBorders>
            <w:shd w:val="clear" w:color="000000" w:fill="F2F2F2"/>
            <w:noWrap/>
            <w:vAlign w:val="center"/>
            <w:hideMark/>
          </w:tcPr>
          <w:p w14:paraId="5D8D328F" w14:textId="77777777" w:rsidR="00A826A8" w:rsidRDefault="00A826A8">
            <w:pPr>
              <w:jc w:val="right"/>
              <w:rPr>
                <w:rFonts w:ascii="Arial" w:hAnsi="Arial" w:cs="Arial"/>
                <w:sz w:val="16"/>
                <w:szCs w:val="16"/>
              </w:rPr>
            </w:pPr>
            <w:r>
              <w:rPr>
                <w:rFonts w:ascii="Arial" w:hAnsi="Arial" w:cs="Arial"/>
                <w:sz w:val="16"/>
                <w:szCs w:val="16"/>
              </w:rPr>
              <w:t xml:space="preserve">190 </w:t>
            </w:r>
          </w:p>
        </w:tc>
        <w:tc>
          <w:tcPr>
            <w:tcW w:w="1000" w:type="dxa"/>
            <w:tcBorders>
              <w:top w:val="single" w:sz="4" w:space="0" w:color="7F7F7F"/>
              <w:left w:val="nil"/>
              <w:bottom w:val="nil"/>
              <w:right w:val="nil"/>
            </w:tcBorders>
            <w:shd w:val="clear" w:color="000000" w:fill="F2F2F2"/>
            <w:noWrap/>
            <w:vAlign w:val="center"/>
            <w:hideMark/>
          </w:tcPr>
          <w:p w14:paraId="0CD96E6B" w14:textId="77777777" w:rsidR="00A826A8" w:rsidRDefault="00A826A8">
            <w:pPr>
              <w:jc w:val="right"/>
              <w:rPr>
                <w:rFonts w:ascii="Arial" w:hAnsi="Arial" w:cs="Arial"/>
                <w:sz w:val="16"/>
                <w:szCs w:val="16"/>
              </w:rPr>
            </w:pPr>
            <w:r>
              <w:rPr>
                <w:rFonts w:ascii="Arial" w:hAnsi="Arial" w:cs="Arial"/>
                <w:sz w:val="16"/>
                <w:szCs w:val="16"/>
              </w:rPr>
              <w:t xml:space="preserve">188 </w:t>
            </w:r>
          </w:p>
        </w:tc>
        <w:tc>
          <w:tcPr>
            <w:tcW w:w="1000" w:type="dxa"/>
            <w:tcBorders>
              <w:top w:val="single" w:sz="4" w:space="0" w:color="7F7F7F"/>
              <w:left w:val="nil"/>
              <w:bottom w:val="nil"/>
              <w:right w:val="nil"/>
            </w:tcBorders>
            <w:shd w:val="clear" w:color="000000" w:fill="F2F2F2"/>
            <w:noWrap/>
            <w:vAlign w:val="center"/>
            <w:hideMark/>
          </w:tcPr>
          <w:p w14:paraId="0C6DC9E1" w14:textId="77777777" w:rsidR="00A826A8" w:rsidRDefault="00A826A8">
            <w:pPr>
              <w:jc w:val="right"/>
              <w:rPr>
                <w:rFonts w:ascii="Arial" w:hAnsi="Arial" w:cs="Arial"/>
                <w:sz w:val="16"/>
                <w:szCs w:val="16"/>
              </w:rPr>
            </w:pPr>
            <w:r>
              <w:rPr>
                <w:rFonts w:ascii="Arial" w:hAnsi="Arial" w:cs="Arial"/>
                <w:sz w:val="16"/>
                <w:szCs w:val="16"/>
              </w:rPr>
              <w:t xml:space="preserve">178 </w:t>
            </w:r>
          </w:p>
        </w:tc>
        <w:tc>
          <w:tcPr>
            <w:tcW w:w="1000" w:type="dxa"/>
            <w:tcBorders>
              <w:top w:val="single" w:sz="4" w:space="0" w:color="7F7F7F"/>
              <w:left w:val="nil"/>
              <w:bottom w:val="nil"/>
              <w:right w:val="nil"/>
            </w:tcBorders>
            <w:shd w:val="clear" w:color="000000" w:fill="F2F2F2"/>
            <w:noWrap/>
            <w:vAlign w:val="center"/>
            <w:hideMark/>
          </w:tcPr>
          <w:p w14:paraId="6AE66965" w14:textId="77777777" w:rsidR="00A826A8" w:rsidRDefault="00A826A8">
            <w:pPr>
              <w:jc w:val="right"/>
              <w:rPr>
                <w:rFonts w:ascii="Arial" w:hAnsi="Arial" w:cs="Arial"/>
                <w:sz w:val="16"/>
                <w:szCs w:val="16"/>
              </w:rPr>
            </w:pPr>
            <w:r>
              <w:rPr>
                <w:rFonts w:ascii="Arial" w:hAnsi="Arial" w:cs="Arial"/>
                <w:sz w:val="16"/>
                <w:szCs w:val="16"/>
              </w:rPr>
              <w:t xml:space="preserve">169 </w:t>
            </w:r>
          </w:p>
        </w:tc>
      </w:tr>
      <w:tr w:rsidR="00A826A8" w14:paraId="1133EB6A" w14:textId="77777777" w:rsidTr="00A826A8">
        <w:trPr>
          <w:trHeight w:val="200"/>
        </w:trPr>
        <w:tc>
          <w:tcPr>
            <w:tcW w:w="4980" w:type="dxa"/>
            <w:tcBorders>
              <w:top w:val="nil"/>
              <w:left w:val="nil"/>
              <w:bottom w:val="single" w:sz="4" w:space="0" w:color="7F7F7F"/>
              <w:right w:val="nil"/>
            </w:tcBorders>
            <w:shd w:val="clear" w:color="000000" w:fill="F2F2F2"/>
            <w:noWrap/>
            <w:vAlign w:val="center"/>
            <w:hideMark/>
          </w:tcPr>
          <w:p w14:paraId="7E9C9F14" w14:textId="77777777" w:rsidR="00A826A8" w:rsidRDefault="00A826A8">
            <w:pPr>
              <w:rPr>
                <w:rFonts w:ascii="Arial" w:hAnsi="Arial" w:cs="Arial"/>
                <w:sz w:val="16"/>
                <w:szCs w:val="16"/>
              </w:rPr>
            </w:pPr>
            <w:r>
              <w:rPr>
                <w:rFonts w:ascii="Arial" w:hAnsi="Arial" w:cs="Arial"/>
                <w:sz w:val="16"/>
                <w:szCs w:val="16"/>
              </w:rPr>
              <w:t>Montant à rembourser - Clôture</w:t>
            </w:r>
          </w:p>
        </w:tc>
        <w:tc>
          <w:tcPr>
            <w:tcW w:w="185" w:type="dxa"/>
            <w:tcBorders>
              <w:top w:val="nil"/>
              <w:left w:val="nil"/>
              <w:bottom w:val="single" w:sz="4" w:space="0" w:color="7F7F7F"/>
              <w:right w:val="nil"/>
            </w:tcBorders>
            <w:shd w:val="clear" w:color="000000" w:fill="F2F2F2"/>
            <w:noWrap/>
            <w:vAlign w:val="center"/>
            <w:hideMark/>
          </w:tcPr>
          <w:p w14:paraId="598FC218" w14:textId="77777777" w:rsidR="00A826A8" w:rsidRDefault="00A826A8">
            <w:pPr>
              <w:jc w:val="right"/>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7F7F7F"/>
              <w:right w:val="nil"/>
            </w:tcBorders>
            <w:shd w:val="clear" w:color="000000" w:fill="F2F2F2"/>
            <w:noWrap/>
            <w:vAlign w:val="center"/>
            <w:hideMark/>
          </w:tcPr>
          <w:p w14:paraId="7B15E80F" w14:textId="77777777" w:rsidR="00A826A8" w:rsidRDefault="00A826A8">
            <w:pPr>
              <w:jc w:val="right"/>
              <w:rPr>
                <w:rFonts w:ascii="Arial" w:hAnsi="Arial" w:cs="Arial"/>
                <w:sz w:val="16"/>
                <w:szCs w:val="16"/>
              </w:rPr>
            </w:pPr>
            <w:r>
              <w:rPr>
                <w:rFonts w:ascii="Arial" w:hAnsi="Arial" w:cs="Arial"/>
                <w:sz w:val="16"/>
                <w:szCs w:val="16"/>
              </w:rPr>
              <w:t xml:space="preserve">190 </w:t>
            </w:r>
          </w:p>
        </w:tc>
        <w:tc>
          <w:tcPr>
            <w:tcW w:w="1000" w:type="dxa"/>
            <w:tcBorders>
              <w:top w:val="nil"/>
              <w:left w:val="nil"/>
              <w:bottom w:val="single" w:sz="4" w:space="0" w:color="7F7F7F"/>
              <w:right w:val="nil"/>
            </w:tcBorders>
            <w:shd w:val="clear" w:color="000000" w:fill="F2F2F2"/>
            <w:noWrap/>
            <w:vAlign w:val="center"/>
            <w:hideMark/>
          </w:tcPr>
          <w:p w14:paraId="12748362" w14:textId="77777777" w:rsidR="00A826A8" w:rsidRDefault="00A826A8">
            <w:pPr>
              <w:jc w:val="right"/>
              <w:rPr>
                <w:rFonts w:ascii="Arial" w:hAnsi="Arial" w:cs="Arial"/>
                <w:sz w:val="16"/>
                <w:szCs w:val="16"/>
              </w:rPr>
            </w:pPr>
            <w:r>
              <w:rPr>
                <w:rFonts w:ascii="Arial" w:hAnsi="Arial" w:cs="Arial"/>
                <w:sz w:val="16"/>
                <w:szCs w:val="16"/>
              </w:rPr>
              <w:t xml:space="preserve">188 </w:t>
            </w:r>
          </w:p>
        </w:tc>
        <w:tc>
          <w:tcPr>
            <w:tcW w:w="1000" w:type="dxa"/>
            <w:tcBorders>
              <w:top w:val="nil"/>
              <w:left w:val="nil"/>
              <w:bottom w:val="single" w:sz="4" w:space="0" w:color="7F7F7F"/>
              <w:right w:val="nil"/>
            </w:tcBorders>
            <w:shd w:val="clear" w:color="000000" w:fill="F2F2F2"/>
            <w:noWrap/>
            <w:vAlign w:val="center"/>
            <w:hideMark/>
          </w:tcPr>
          <w:p w14:paraId="1AE10ADD" w14:textId="77777777" w:rsidR="00A826A8" w:rsidRDefault="00A826A8">
            <w:pPr>
              <w:jc w:val="right"/>
              <w:rPr>
                <w:rFonts w:ascii="Arial" w:hAnsi="Arial" w:cs="Arial"/>
                <w:sz w:val="16"/>
                <w:szCs w:val="16"/>
              </w:rPr>
            </w:pPr>
            <w:r>
              <w:rPr>
                <w:rFonts w:ascii="Arial" w:hAnsi="Arial" w:cs="Arial"/>
                <w:sz w:val="16"/>
                <w:szCs w:val="16"/>
              </w:rPr>
              <w:t xml:space="preserve">178 </w:t>
            </w:r>
          </w:p>
        </w:tc>
        <w:tc>
          <w:tcPr>
            <w:tcW w:w="1000" w:type="dxa"/>
            <w:tcBorders>
              <w:top w:val="nil"/>
              <w:left w:val="nil"/>
              <w:bottom w:val="single" w:sz="4" w:space="0" w:color="7F7F7F"/>
              <w:right w:val="nil"/>
            </w:tcBorders>
            <w:shd w:val="clear" w:color="000000" w:fill="F2F2F2"/>
            <w:noWrap/>
            <w:vAlign w:val="center"/>
            <w:hideMark/>
          </w:tcPr>
          <w:p w14:paraId="466A85F8" w14:textId="77777777" w:rsidR="00A826A8" w:rsidRDefault="00A826A8">
            <w:pPr>
              <w:jc w:val="right"/>
              <w:rPr>
                <w:rFonts w:ascii="Arial" w:hAnsi="Arial" w:cs="Arial"/>
                <w:sz w:val="16"/>
                <w:szCs w:val="16"/>
              </w:rPr>
            </w:pPr>
            <w:r>
              <w:rPr>
                <w:rFonts w:ascii="Arial" w:hAnsi="Arial" w:cs="Arial"/>
                <w:sz w:val="16"/>
                <w:szCs w:val="16"/>
              </w:rPr>
              <w:t xml:space="preserve">169 </w:t>
            </w:r>
          </w:p>
        </w:tc>
        <w:tc>
          <w:tcPr>
            <w:tcW w:w="1000" w:type="dxa"/>
            <w:tcBorders>
              <w:top w:val="nil"/>
              <w:left w:val="nil"/>
              <w:bottom w:val="single" w:sz="4" w:space="0" w:color="7F7F7F"/>
              <w:right w:val="nil"/>
            </w:tcBorders>
            <w:shd w:val="clear" w:color="000000" w:fill="F2F2F2"/>
            <w:noWrap/>
            <w:vAlign w:val="center"/>
            <w:hideMark/>
          </w:tcPr>
          <w:p w14:paraId="7FA25215"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20B45B50" w14:textId="77777777" w:rsidTr="00A826A8">
        <w:trPr>
          <w:trHeight w:val="108"/>
        </w:trPr>
        <w:tc>
          <w:tcPr>
            <w:tcW w:w="4980" w:type="dxa"/>
            <w:tcBorders>
              <w:top w:val="nil"/>
              <w:left w:val="nil"/>
              <w:bottom w:val="nil"/>
              <w:right w:val="nil"/>
            </w:tcBorders>
            <w:noWrap/>
            <w:vAlign w:val="center"/>
            <w:hideMark/>
          </w:tcPr>
          <w:p w14:paraId="0FDAF7AF" w14:textId="77777777" w:rsidR="00A826A8" w:rsidRDefault="00A826A8">
            <w:pPr>
              <w:jc w:val="right"/>
              <w:rPr>
                <w:rFonts w:ascii="Arial" w:hAnsi="Arial" w:cs="Arial"/>
                <w:sz w:val="16"/>
                <w:szCs w:val="16"/>
              </w:rPr>
            </w:pPr>
          </w:p>
        </w:tc>
        <w:tc>
          <w:tcPr>
            <w:tcW w:w="185" w:type="dxa"/>
            <w:tcBorders>
              <w:top w:val="nil"/>
              <w:left w:val="nil"/>
              <w:bottom w:val="nil"/>
              <w:right w:val="nil"/>
            </w:tcBorders>
            <w:noWrap/>
            <w:vAlign w:val="center"/>
            <w:hideMark/>
          </w:tcPr>
          <w:p w14:paraId="5E5CB490" w14:textId="77777777" w:rsidR="00A826A8" w:rsidRDefault="00A826A8">
            <w:pPr>
              <w:rPr>
                <w:sz w:val="20"/>
                <w:szCs w:val="20"/>
              </w:rPr>
            </w:pPr>
          </w:p>
        </w:tc>
        <w:tc>
          <w:tcPr>
            <w:tcW w:w="1000" w:type="dxa"/>
            <w:tcBorders>
              <w:top w:val="nil"/>
              <w:left w:val="nil"/>
              <w:bottom w:val="nil"/>
              <w:right w:val="nil"/>
            </w:tcBorders>
            <w:noWrap/>
            <w:vAlign w:val="center"/>
            <w:hideMark/>
          </w:tcPr>
          <w:p w14:paraId="2587D6CD" w14:textId="77777777" w:rsidR="00A826A8" w:rsidRDefault="00A826A8">
            <w:pPr>
              <w:rPr>
                <w:sz w:val="20"/>
                <w:szCs w:val="20"/>
              </w:rPr>
            </w:pPr>
          </w:p>
        </w:tc>
        <w:tc>
          <w:tcPr>
            <w:tcW w:w="1000" w:type="dxa"/>
            <w:tcBorders>
              <w:top w:val="nil"/>
              <w:left w:val="nil"/>
              <w:bottom w:val="nil"/>
              <w:right w:val="nil"/>
            </w:tcBorders>
            <w:noWrap/>
            <w:vAlign w:val="center"/>
            <w:hideMark/>
          </w:tcPr>
          <w:p w14:paraId="67482BD2"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56C5FDB7"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04A33AF0"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0518BA6B" w14:textId="77777777" w:rsidR="00A826A8" w:rsidRDefault="00A826A8">
            <w:pPr>
              <w:jc w:val="right"/>
              <w:rPr>
                <w:sz w:val="20"/>
                <w:szCs w:val="20"/>
              </w:rPr>
            </w:pPr>
          </w:p>
        </w:tc>
      </w:tr>
      <w:tr w:rsidR="00A826A8" w14:paraId="1C436D6C" w14:textId="77777777" w:rsidTr="00A826A8">
        <w:trPr>
          <w:trHeight w:val="210"/>
        </w:trPr>
        <w:tc>
          <w:tcPr>
            <w:tcW w:w="4980" w:type="dxa"/>
            <w:tcBorders>
              <w:top w:val="single" w:sz="4" w:space="0" w:color="7F7F7F"/>
              <w:left w:val="nil"/>
              <w:bottom w:val="single" w:sz="4" w:space="0" w:color="7F7F7F"/>
              <w:right w:val="nil"/>
            </w:tcBorders>
            <w:shd w:val="clear" w:color="000000" w:fill="ECF2F8"/>
            <w:noWrap/>
            <w:vAlign w:val="center"/>
            <w:hideMark/>
          </w:tcPr>
          <w:p w14:paraId="421FC7A1" w14:textId="77777777" w:rsidR="00A826A8" w:rsidRDefault="00A826A8">
            <w:pPr>
              <w:rPr>
                <w:rFonts w:ascii="Arial" w:hAnsi="Arial" w:cs="Arial"/>
                <w:b/>
                <w:bCs/>
                <w:color w:val="000000"/>
                <w:sz w:val="16"/>
                <w:szCs w:val="16"/>
              </w:rPr>
            </w:pPr>
            <w:r>
              <w:rPr>
                <w:rFonts w:ascii="Arial" w:hAnsi="Arial" w:cs="Arial"/>
                <w:b/>
                <w:bCs/>
                <w:color w:val="000000"/>
                <w:sz w:val="16"/>
                <w:szCs w:val="16"/>
              </w:rPr>
              <w:t>Dividendes du plan</w:t>
            </w:r>
          </w:p>
        </w:tc>
        <w:tc>
          <w:tcPr>
            <w:tcW w:w="185" w:type="dxa"/>
            <w:tcBorders>
              <w:top w:val="single" w:sz="4" w:space="0" w:color="7F7F7F"/>
              <w:left w:val="nil"/>
              <w:bottom w:val="single" w:sz="4" w:space="0" w:color="7F7F7F"/>
              <w:right w:val="nil"/>
            </w:tcBorders>
            <w:shd w:val="clear" w:color="000000" w:fill="ECF2F8"/>
            <w:noWrap/>
            <w:vAlign w:val="center"/>
            <w:hideMark/>
          </w:tcPr>
          <w:p w14:paraId="583A54D6"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50D57E6B"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(2)</w:t>
            </w:r>
          </w:p>
        </w:tc>
        <w:tc>
          <w:tcPr>
            <w:tcW w:w="1000" w:type="dxa"/>
            <w:tcBorders>
              <w:top w:val="single" w:sz="4" w:space="0" w:color="7F7F7F"/>
              <w:left w:val="nil"/>
              <w:bottom w:val="single" w:sz="4" w:space="0" w:color="7F7F7F"/>
              <w:right w:val="nil"/>
            </w:tcBorders>
            <w:shd w:val="clear" w:color="000000" w:fill="ECF2F8"/>
            <w:noWrap/>
            <w:vAlign w:val="center"/>
            <w:hideMark/>
          </w:tcPr>
          <w:p w14:paraId="295F9F32"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(2)</w:t>
            </w:r>
          </w:p>
        </w:tc>
        <w:tc>
          <w:tcPr>
            <w:tcW w:w="1000" w:type="dxa"/>
            <w:tcBorders>
              <w:top w:val="single" w:sz="4" w:space="0" w:color="7F7F7F"/>
              <w:left w:val="nil"/>
              <w:bottom w:val="single" w:sz="4" w:space="0" w:color="7F7F7F"/>
              <w:right w:val="nil"/>
            </w:tcBorders>
            <w:shd w:val="clear" w:color="000000" w:fill="ECF2F8"/>
            <w:noWrap/>
            <w:vAlign w:val="center"/>
            <w:hideMark/>
          </w:tcPr>
          <w:p w14:paraId="546B1036"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(10)</w:t>
            </w:r>
          </w:p>
        </w:tc>
        <w:tc>
          <w:tcPr>
            <w:tcW w:w="1000" w:type="dxa"/>
            <w:tcBorders>
              <w:top w:val="single" w:sz="4" w:space="0" w:color="7F7F7F"/>
              <w:left w:val="nil"/>
              <w:bottom w:val="single" w:sz="4" w:space="0" w:color="7F7F7F"/>
              <w:right w:val="nil"/>
            </w:tcBorders>
            <w:shd w:val="clear" w:color="000000" w:fill="ECF2F8"/>
            <w:noWrap/>
            <w:vAlign w:val="center"/>
            <w:hideMark/>
          </w:tcPr>
          <w:p w14:paraId="2A59D9A9"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(10)</w:t>
            </w:r>
          </w:p>
        </w:tc>
        <w:tc>
          <w:tcPr>
            <w:tcW w:w="1000" w:type="dxa"/>
            <w:tcBorders>
              <w:top w:val="single" w:sz="4" w:space="0" w:color="7F7F7F"/>
              <w:left w:val="nil"/>
              <w:bottom w:val="single" w:sz="4" w:space="0" w:color="7F7F7F"/>
              <w:right w:val="nil"/>
            </w:tcBorders>
            <w:shd w:val="clear" w:color="000000" w:fill="ECF2F8"/>
            <w:noWrap/>
            <w:vAlign w:val="center"/>
            <w:hideMark/>
          </w:tcPr>
          <w:p w14:paraId="53FFED6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(169)</w:t>
            </w:r>
          </w:p>
        </w:tc>
      </w:tr>
      <w:tr w:rsidR="00A826A8" w14:paraId="6456FFE2" w14:textId="77777777" w:rsidTr="00A826A8">
        <w:trPr>
          <w:trHeight w:val="108"/>
        </w:trPr>
        <w:tc>
          <w:tcPr>
            <w:tcW w:w="4980" w:type="dxa"/>
            <w:tcBorders>
              <w:top w:val="nil"/>
              <w:left w:val="nil"/>
              <w:bottom w:val="nil"/>
              <w:right w:val="nil"/>
            </w:tcBorders>
            <w:noWrap/>
            <w:vAlign w:val="center"/>
            <w:hideMark/>
          </w:tcPr>
          <w:p w14:paraId="61C99C61"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0E810E68" w14:textId="77777777" w:rsidR="00A826A8" w:rsidRDefault="00A826A8">
            <w:pPr>
              <w:rPr>
                <w:sz w:val="20"/>
                <w:szCs w:val="20"/>
              </w:rPr>
            </w:pPr>
          </w:p>
        </w:tc>
        <w:tc>
          <w:tcPr>
            <w:tcW w:w="1000" w:type="dxa"/>
            <w:tcBorders>
              <w:top w:val="nil"/>
              <w:left w:val="nil"/>
              <w:bottom w:val="nil"/>
              <w:right w:val="nil"/>
            </w:tcBorders>
            <w:noWrap/>
            <w:vAlign w:val="center"/>
            <w:hideMark/>
          </w:tcPr>
          <w:p w14:paraId="0812651B" w14:textId="77777777" w:rsidR="00A826A8" w:rsidRDefault="00A826A8">
            <w:pPr>
              <w:rPr>
                <w:sz w:val="20"/>
                <w:szCs w:val="20"/>
              </w:rPr>
            </w:pPr>
          </w:p>
        </w:tc>
        <w:tc>
          <w:tcPr>
            <w:tcW w:w="1000" w:type="dxa"/>
            <w:tcBorders>
              <w:top w:val="nil"/>
              <w:left w:val="nil"/>
              <w:bottom w:val="nil"/>
              <w:right w:val="nil"/>
            </w:tcBorders>
            <w:noWrap/>
            <w:vAlign w:val="center"/>
            <w:hideMark/>
          </w:tcPr>
          <w:p w14:paraId="44BD6E90" w14:textId="77777777" w:rsidR="00A826A8" w:rsidRDefault="00A826A8">
            <w:pPr>
              <w:rPr>
                <w:sz w:val="20"/>
                <w:szCs w:val="20"/>
              </w:rPr>
            </w:pPr>
          </w:p>
        </w:tc>
        <w:tc>
          <w:tcPr>
            <w:tcW w:w="1000" w:type="dxa"/>
            <w:tcBorders>
              <w:top w:val="nil"/>
              <w:left w:val="nil"/>
              <w:bottom w:val="nil"/>
              <w:right w:val="nil"/>
            </w:tcBorders>
            <w:noWrap/>
            <w:vAlign w:val="center"/>
            <w:hideMark/>
          </w:tcPr>
          <w:p w14:paraId="3247552B" w14:textId="77777777" w:rsidR="00A826A8" w:rsidRDefault="00A826A8">
            <w:pPr>
              <w:rPr>
                <w:sz w:val="20"/>
                <w:szCs w:val="20"/>
              </w:rPr>
            </w:pPr>
          </w:p>
        </w:tc>
        <w:tc>
          <w:tcPr>
            <w:tcW w:w="1000" w:type="dxa"/>
            <w:tcBorders>
              <w:top w:val="nil"/>
              <w:left w:val="nil"/>
              <w:bottom w:val="nil"/>
              <w:right w:val="nil"/>
            </w:tcBorders>
            <w:noWrap/>
            <w:vAlign w:val="center"/>
            <w:hideMark/>
          </w:tcPr>
          <w:p w14:paraId="759B17B4" w14:textId="77777777" w:rsidR="00A826A8" w:rsidRDefault="00A826A8">
            <w:pPr>
              <w:rPr>
                <w:sz w:val="20"/>
                <w:szCs w:val="20"/>
              </w:rPr>
            </w:pPr>
          </w:p>
        </w:tc>
        <w:tc>
          <w:tcPr>
            <w:tcW w:w="1000" w:type="dxa"/>
            <w:tcBorders>
              <w:top w:val="nil"/>
              <w:left w:val="nil"/>
              <w:bottom w:val="nil"/>
              <w:right w:val="nil"/>
            </w:tcBorders>
            <w:noWrap/>
            <w:vAlign w:val="center"/>
            <w:hideMark/>
          </w:tcPr>
          <w:p w14:paraId="59E9405C" w14:textId="77777777" w:rsidR="00A826A8" w:rsidRDefault="00A826A8">
            <w:pPr>
              <w:rPr>
                <w:sz w:val="20"/>
                <w:szCs w:val="20"/>
              </w:rPr>
            </w:pPr>
          </w:p>
        </w:tc>
      </w:tr>
      <w:tr w:rsidR="00A826A8" w14:paraId="1AC07A3E" w14:textId="77777777" w:rsidTr="00A826A8">
        <w:trPr>
          <w:trHeight w:val="200"/>
        </w:trPr>
        <w:tc>
          <w:tcPr>
            <w:tcW w:w="4980" w:type="dxa"/>
            <w:tcBorders>
              <w:top w:val="nil"/>
              <w:left w:val="nil"/>
              <w:bottom w:val="nil"/>
              <w:right w:val="nil"/>
            </w:tcBorders>
            <w:shd w:val="clear" w:color="000000" w:fill="F2F2F2"/>
            <w:noWrap/>
            <w:vAlign w:val="center"/>
            <w:hideMark/>
          </w:tcPr>
          <w:p w14:paraId="78A3619B" w14:textId="77777777" w:rsidR="00A826A8" w:rsidRDefault="00A826A8">
            <w:pPr>
              <w:rPr>
                <w:rFonts w:ascii="Arial" w:hAnsi="Arial" w:cs="Arial"/>
                <w:color w:val="000000"/>
                <w:sz w:val="16"/>
                <w:szCs w:val="16"/>
              </w:rPr>
            </w:pPr>
            <w:r>
              <w:rPr>
                <w:rFonts w:ascii="Arial" w:hAnsi="Arial" w:cs="Arial"/>
                <w:color w:val="000000"/>
                <w:sz w:val="16"/>
                <w:szCs w:val="16"/>
              </w:rPr>
              <w:t>Séquence de remboursement</w:t>
            </w:r>
          </w:p>
        </w:tc>
        <w:tc>
          <w:tcPr>
            <w:tcW w:w="185" w:type="dxa"/>
            <w:tcBorders>
              <w:top w:val="nil"/>
              <w:left w:val="nil"/>
              <w:bottom w:val="nil"/>
              <w:right w:val="nil"/>
            </w:tcBorders>
            <w:shd w:val="clear" w:color="000000" w:fill="F2F2F2"/>
            <w:noWrap/>
            <w:vAlign w:val="center"/>
            <w:hideMark/>
          </w:tcPr>
          <w:p w14:paraId="2EE475B7" w14:textId="77777777" w:rsidR="00A826A8" w:rsidRDefault="00A826A8">
            <w:pPr>
              <w:jc w:val="right"/>
              <w:rPr>
                <w:rFonts w:ascii="Arial" w:hAnsi="Arial" w:cs="Arial"/>
                <w:color w:val="000000"/>
                <w:sz w:val="16"/>
                <w:szCs w:val="16"/>
              </w:rPr>
            </w:pPr>
            <w:r>
              <w:rPr>
                <w:rFonts w:ascii="Arial" w:hAnsi="Arial" w:cs="Arial"/>
                <w:color w:val="000000"/>
                <w:sz w:val="16"/>
                <w:szCs w:val="16"/>
              </w:rPr>
              <w:t> </w:t>
            </w:r>
          </w:p>
        </w:tc>
        <w:tc>
          <w:tcPr>
            <w:tcW w:w="1000" w:type="dxa"/>
            <w:tcBorders>
              <w:top w:val="nil"/>
              <w:left w:val="nil"/>
              <w:bottom w:val="nil"/>
              <w:right w:val="nil"/>
            </w:tcBorders>
            <w:shd w:val="clear" w:color="000000" w:fill="F2F2F2"/>
            <w:noWrap/>
            <w:vAlign w:val="center"/>
            <w:hideMark/>
          </w:tcPr>
          <w:p w14:paraId="0D84B172" w14:textId="77777777" w:rsidR="00A826A8" w:rsidRDefault="00A826A8">
            <w:pPr>
              <w:jc w:val="right"/>
              <w:rPr>
                <w:rFonts w:ascii="Arial" w:hAnsi="Arial" w:cs="Arial"/>
                <w:color w:val="000000"/>
                <w:sz w:val="16"/>
                <w:szCs w:val="16"/>
              </w:rPr>
            </w:pPr>
            <w:r>
              <w:rPr>
                <w:rFonts w:ascii="Arial" w:hAnsi="Arial" w:cs="Arial"/>
                <w:color w:val="000000"/>
                <w:sz w:val="16"/>
                <w:szCs w:val="16"/>
              </w:rPr>
              <w:t>1,0 %</w:t>
            </w:r>
          </w:p>
        </w:tc>
        <w:tc>
          <w:tcPr>
            <w:tcW w:w="1000" w:type="dxa"/>
            <w:tcBorders>
              <w:top w:val="nil"/>
              <w:left w:val="nil"/>
              <w:bottom w:val="nil"/>
              <w:right w:val="nil"/>
            </w:tcBorders>
            <w:shd w:val="clear" w:color="000000" w:fill="F2F2F2"/>
            <w:noWrap/>
            <w:vAlign w:val="center"/>
            <w:hideMark/>
          </w:tcPr>
          <w:p w14:paraId="36980C3A" w14:textId="77777777" w:rsidR="00A826A8" w:rsidRDefault="00A826A8">
            <w:pPr>
              <w:jc w:val="right"/>
              <w:rPr>
                <w:rFonts w:ascii="Arial" w:hAnsi="Arial" w:cs="Arial"/>
                <w:color w:val="000000"/>
                <w:sz w:val="16"/>
                <w:szCs w:val="16"/>
              </w:rPr>
            </w:pPr>
            <w:r>
              <w:rPr>
                <w:rFonts w:ascii="Arial" w:hAnsi="Arial" w:cs="Arial"/>
                <w:color w:val="000000"/>
                <w:sz w:val="16"/>
                <w:szCs w:val="16"/>
              </w:rPr>
              <w:t>1,0 %</w:t>
            </w:r>
          </w:p>
        </w:tc>
        <w:tc>
          <w:tcPr>
            <w:tcW w:w="1000" w:type="dxa"/>
            <w:tcBorders>
              <w:top w:val="nil"/>
              <w:left w:val="nil"/>
              <w:bottom w:val="nil"/>
              <w:right w:val="nil"/>
            </w:tcBorders>
            <w:shd w:val="clear" w:color="000000" w:fill="F2F2F2"/>
            <w:noWrap/>
            <w:vAlign w:val="center"/>
            <w:hideMark/>
          </w:tcPr>
          <w:p w14:paraId="0219CE30" w14:textId="77777777" w:rsidR="00A826A8" w:rsidRDefault="00A826A8">
            <w:pPr>
              <w:jc w:val="right"/>
              <w:rPr>
                <w:rFonts w:ascii="Arial" w:hAnsi="Arial" w:cs="Arial"/>
                <w:color w:val="000000"/>
                <w:sz w:val="16"/>
                <w:szCs w:val="16"/>
              </w:rPr>
            </w:pPr>
            <w:r>
              <w:rPr>
                <w:rFonts w:ascii="Arial" w:hAnsi="Arial" w:cs="Arial"/>
                <w:color w:val="000000"/>
                <w:sz w:val="16"/>
                <w:szCs w:val="16"/>
              </w:rPr>
              <w:t>5,0 %</w:t>
            </w:r>
          </w:p>
        </w:tc>
        <w:tc>
          <w:tcPr>
            <w:tcW w:w="1000" w:type="dxa"/>
            <w:tcBorders>
              <w:top w:val="nil"/>
              <w:left w:val="nil"/>
              <w:bottom w:val="nil"/>
              <w:right w:val="nil"/>
            </w:tcBorders>
            <w:shd w:val="clear" w:color="000000" w:fill="F2F2F2"/>
            <w:noWrap/>
            <w:vAlign w:val="center"/>
            <w:hideMark/>
          </w:tcPr>
          <w:p w14:paraId="3307B4FF" w14:textId="77777777" w:rsidR="00A826A8" w:rsidRDefault="00A826A8">
            <w:pPr>
              <w:jc w:val="right"/>
              <w:rPr>
                <w:rFonts w:ascii="Arial" w:hAnsi="Arial" w:cs="Arial"/>
                <w:color w:val="000000"/>
                <w:sz w:val="16"/>
                <w:szCs w:val="16"/>
              </w:rPr>
            </w:pPr>
            <w:r>
              <w:rPr>
                <w:rFonts w:ascii="Arial" w:hAnsi="Arial" w:cs="Arial"/>
                <w:color w:val="000000"/>
                <w:sz w:val="16"/>
                <w:szCs w:val="16"/>
              </w:rPr>
              <w:t>5,0 %</w:t>
            </w:r>
          </w:p>
        </w:tc>
        <w:tc>
          <w:tcPr>
            <w:tcW w:w="1000" w:type="dxa"/>
            <w:tcBorders>
              <w:top w:val="nil"/>
              <w:left w:val="nil"/>
              <w:bottom w:val="nil"/>
              <w:right w:val="nil"/>
            </w:tcBorders>
            <w:shd w:val="clear" w:color="000000" w:fill="F2F2F2"/>
            <w:noWrap/>
            <w:vAlign w:val="center"/>
            <w:hideMark/>
          </w:tcPr>
          <w:p w14:paraId="49B75EE6" w14:textId="77777777" w:rsidR="00A826A8" w:rsidRDefault="00A826A8">
            <w:pPr>
              <w:jc w:val="right"/>
              <w:rPr>
                <w:rFonts w:ascii="Arial" w:hAnsi="Arial" w:cs="Arial"/>
                <w:color w:val="000000"/>
                <w:sz w:val="16"/>
                <w:szCs w:val="16"/>
              </w:rPr>
            </w:pPr>
            <w:r>
              <w:rPr>
                <w:rFonts w:ascii="Arial" w:hAnsi="Arial" w:cs="Arial"/>
                <w:color w:val="000000"/>
                <w:sz w:val="16"/>
                <w:szCs w:val="16"/>
              </w:rPr>
              <w:t>88,0 %</w:t>
            </w:r>
          </w:p>
        </w:tc>
      </w:tr>
      <w:tr w:rsidR="00A826A8" w14:paraId="00BA2F6A" w14:textId="77777777" w:rsidTr="00A826A8">
        <w:trPr>
          <w:trHeight w:val="108"/>
        </w:trPr>
        <w:tc>
          <w:tcPr>
            <w:tcW w:w="4980" w:type="dxa"/>
            <w:tcBorders>
              <w:top w:val="nil"/>
              <w:left w:val="nil"/>
              <w:bottom w:val="nil"/>
              <w:right w:val="nil"/>
            </w:tcBorders>
            <w:noWrap/>
            <w:vAlign w:val="center"/>
            <w:hideMark/>
          </w:tcPr>
          <w:p w14:paraId="651E6A72" w14:textId="77777777" w:rsidR="00A826A8" w:rsidRDefault="00A826A8">
            <w:pPr>
              <w:jc w:val="right"/>
              <w:rPr>
                <w:rFonts w:ascii="Arial" w:hAnsi="Arial" w:cs="Arial"/>
                <w:color w:val="000000"/>
                <w:sz w:val="16"/>
                <w:szCs w:val="16"/>
              </w:rPr>
            </w:pPr>
          </w:p>
        </w:tc>
        <w:tc>
          <w:tcPr>
            <w:tcW w:w="185" w:type="dxa"/>
            <w:tcBorders>
              <w:top w:val="nil"/>
              <w:left w:val="nil"/>
              <w:bottom w:val="nil"/>
              <w:right w:val="nil"/>
            </w:tcBorders>
            <w:noWrap/>
            <w:vAlign w:val="center"/>
            <w:hideMark/>
          </w:tcPr>
          <w:p w14:paraId="5AE69405" w14:textId="77777777" w:rsidR="00A826A8" w:rsidRDefault="00A826A8">
            <w:pPr>
              <w:rPr>
                <w:sz w:val="20"/>
                <w:szCs w:val="20"/>
              </w:rPr>
            </w:pPr>
          </w:p>
        </w:tc>
        <w:tc>
          <w:tcPr>
            <w:tcW w:w="1000" w:type="dxa"/>
            <w:tcBorders>
              <w:top w:val="nil"/>
              <w:left w:val="nil"/>
              <w:bottom w:val="nil"/>
              <w:right w:val="nil"/>
            </w:tcBorders>
            <w:noWrap/>
            <w:vAlign w:val="center"/>
            <w:hideMark/>
          </w:tcPr>
          <w:p w14:paraId="5AC96047" w14:textId="77777777" w:rsidR="00A826A8" w:rsidRDefault="00A826A8">
            <w:pPr>
              <w:rPr>
                <w:sz w:val="20"/>
                <w:szCs w:val="20"/>
              </w:rPr>
            </w:pPr>
          </w:p>
        </w:tc>
        <w:tc>
          <w:tcPr>
            <w:tcW w:w="1000" w:type="dxa"/>
            <w:tcBorders>
              <w:top w:val="nil"/>
              <w:left w:val="nil"/>
              <w:bottom w:val="nil"/>
              <w:right w:val="nil"/>
            </w:tcBorders>
            <w:noWrap/>
            <w:vAlign w:val="center"/>
            <w:hideMark/>
          </w:tcPr>
          <w:p w14:paraId="7A7F632C" w14:textId="77777777" w:rsidR="00A826A8" w:rsidRDefault="00A826A8">
            <w:pPr>
              <w:rPr>
                <w:sz w:val="20"/>
                <w:szCs w:val="20"/>
              </w:rPr>
            </w:pPr>
          </w:p>
        </w:tc>
        <w:tc>
          <w:tcPr>
            <w:tcW w:w="1000" w:type="dxa"/>
            <w:tcBorders>
              <w:top w:val="nil"/>
              <w:left w:val="nil"/>
              <w:bottom w:val="nil"/>
              <w:right w:val="nil"/>
            </w:tcBorders>
            <w:noWrap/>
            <w:vAlign w:val="center"/>
            <w:hideMark/>
          </w:tcPr>
          <w:p w14:paraId="040C97F5" w14:textId="77777777" w:rsidR="00A826A8" w:rsidRDefault="00A826A8">
            <w:pPr>
              <w:rPr>
                <w:sz w:val="20"/>
                <w:szCs w:val="20"/>
              </w:rPr>
            </w:pPr>
          </w:p>
        </w:tc>
        <w:tc>
          <w:tcPr>
            <w:tcW w:w="1000" w:type="dxa"/>
            <w:tcBorders>
              <w:top w:val="nil"/>
              <w:left w:val="nil"/>
              <w:bottom w:val="nil"/>
              <w:right w:val="nil"/>
            </w:tcBorders>
            <w:noWrap/>
            <w:vAlign w:val="center"/>
            <w:hideMark/>
          </w:tcPr>
          <w:p w14:paraId="722E46FA" w14:textId="77777777" w:rsidR="00A826A8" w:rsidRDefault="00A826A8">
            <w:pPr>
              <w:rPr>
                <w:sz w:val="20"/>
                <w:szCs w:val="20"/>
              </w:rPr>
            </w:pPr>
          </w:p>
        </w:tc>
        <w:tc>
          <w:tcPr>
            <w:tcW w:w="1000" w:type="dxa"/>
            <w:tcBorders>
              <w:top w:val="nil"/>
              <w:left w:val="nil"/>
              <w:bottom w:val="nil"/>
              <w:right w:val="nil"/>
            </w:tcBorders>
            <w:noWrap/>
            <w:vAlign w:val="center"/>
            <w:hideMark/>
          </w:tcPr>
          <w:p w14:paraId="7465CEC4" w14:textId="77777777" w:rsidR="00A826A8" w:rsidRDefault="00A826A8">
            <w:pPr>
              <w:rPr>
                <w:sz w:val="20"/>
                <w:szCs w:val="20"/>
              </w:rPr>
            </w:pPr>
          </w:p>
        </w:tc>
      </w:tr>
      <w:tr w:rsidR="00A826A8" w14:paraId="512549DB" w14:textId="77777777" w:rsidTr="00A826A8">
        <w:trPr>
          <w:trHeight w:val="200"/>
        </w:trPr>
        <w:tc>
          <w:tcPr>
            <w:tcW w:w="4980" w:type="dxa"/>
            <w:tcBorders>
              <w:top w:val="nil"/>
              <w:left w:val="nil"/>
              <w:bottom w:val="nil"/>
              <w:right w:val="nil"/>
            </w:tcBorders>
            <w:noWrap/>
            <w:vAlign w:val="center"/>
            <w:hideMark/>
          </w:tcPr>
          <w:p w14:paraId="01B9B2E1" w14:textId="77777777" w:rsidR="00A826A8" w:rsidRDefault="00A826A8">
            <w:pPr>
              <w:rPr>
                <w:rFonts w:ascii="Arial" w:hAnsi="Arial" w:cs="Arial"/>
                <w:sz w:val="16"/>
                <w:szCs w:val="16"/>
              </w:rPr>
            </w:pPr>
            <w:r>
              <w:rPr>
                <w:rFonts w:ascii="Arial" w:hAnsi="Arial" w:cs="Arial"/>
                <w:sz w:val="16"/>
                <w:szCs w:val="16"/>
              </w:rPr>
              <w:t>Variation de trésorerie</w:t>
            </w:r>
          </w:p>
        </w:tc>
        <w:tc>
          <w:tcPr>
            <w:tcW w:w="185" w:type="dxa"/>
            <w:tcBorders>
              <w:top w:val="nil"/>
              <w:left w:val="nil"/>
              <w:bottom w:val="nil"/>
              <w:right w:val="nil"/>
            </w:tcBorders>
            <w:noWrap/>
            <w:vAlign w:val="center"/>
            <w:hideMark/>
          </w:tcPr>
          <w:p w14:paraId="4C100C26"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1EAEEBCD" w14:textId="77777777" w:rsidR="00A826A8" w:rsidRDefault="00A826A8">
            <w:pPr>
              <w:jc w:val="right"/>
              <w:rPr>
                <w:rFonts w:ascii="Arial" w:hAnsi="Arial" w:cs="Arial"/>
                <w:sz w:val="16"/>
                <w:szCs w:val="16"/>
              </w:rPr>
            </w:pPr>
            <w:r>
              <w:rPr>
                <w:rFonts w:ascii="Arial" w:hAnsi="Arial" w:cs="Arial"/>
                <w:sz w:val="16"/>
                <w:szCs w:val="16"/>
              </w:rPr>
              <w:t xml:space="preserve">8 </w:t>
            </w:r>
          </w:p>
        </w:tc>
        <w:tc>
          <w:tcPr>
            <w:tcW w:w="1000" w:type="dxa"/>
            <w:tcBorders>
              <w:top w:val="nil"/>
              <w:left w:val="nil"/>
              <w:bottom w:val="nil"/>
              <w:right w:val="nil"/>
            </w:tcBorders>
            <w:noWrap/>
            <w:vAlign w:val="center"/>
            <w:hideMark/>
          </w:tcPr>
          <w:p w14:paraId="3798E879" w14:textId="77777777" w:rsidR="00A826A8" w:rsidRDefault="00A826A8">
            <w:pPr>
              <w:jc w:val="right"/>
              <w:rPr>
                <w:rFonts w:ascii="Arial" w:hAnsi="Arial" w:cs="Arial"/>
                <w:sz w:val="16"/>
                <w:szCs w:val="16"/>
              </w:rPr>
            </w:pPr>
            <w:r>
              <w:rPr>
                <w:rFonts w:ascii="Arial" w:hAnsi="Arial" w:cs="Arial"/>
                <w:sz w:val="16"/>
                <w:szCs w:val="16"/>
              </w:rPr>
              <w:t xml:space="preserve">9 </w:t>
            </w:r>
          </w:p>
        </w:tc>
        <w:tc>
          <w:tcPr>
            <w:tcW w:w="1000" w:type="dxa"/>
            <w:tcBorders>
              <w:top w:val="nil"/>
              <w:left w:val="nil"/>
              <w:bottom w:val="nil"/>
              <w:right w:val="nil"/>
            </w:tcBorders>
            <w:noWrap/>
            <w:vAlign w:val="center"/>
            <w:hideMark/>
          </w:tcPr>
          <w:p w14:paraId="001B2B00" w14:textId="77777777" w:rsidR="00A826A8" w:rsidRDefault="00A826A8">
            <w:pPr>
              <w:jc w:val="right"/>
              <w:rPr>
                <w:rFonts w:ascii="Arial" w:hAnsi="Arial" w:cs="Arial"/>
                <w:sz w:val="16"/>
                <w:szCs w:val="16"/>
              </w:rPr>
            </w:pPr>
            <w:r>
              <w:rPr>
                <w:rFonts w:ascii="Arial" w:hAnsi="Arial" w:cs="Arial"/>
                <w:sz w:val="16"/>
                <w:szCs w:val="16"/>
              </w:rPr>
              <w:t xml:space="preserve">9 </w:t>
            </w:r>
          </w:p>
        </w:tc>
        <w:tc>
          <w:tcPr>
            <w:tcW w:w="1000" w:type="dxa"/>
            <w:tcBorders>
              <w:top w:val="nil"/>
              <w:left w:val="nil"/>
              <w:bottom w:val="nil"/>
              <w:right w:val="nil"/>
            </w:tcBorders>
            <w:noWrap/>
            <w:vAlign w:val="center"/>
            <w:hideMark/>
          </w:tcPr>
          <w:p w14:paraId="2D4D4597" w14:textId="77777777" w:rsidR="00A826A8" w:rsidRDefault="00A826A8">
            <w:pPr>
              <w:jc w:val="right"/>
              <w:rPr>
                <w:rFonts w:ascii="Arial" w:hAnsi="Arial" w:cs="Arial"/>
                <w:sz w:val="16"/>
                <w:szCs w:val="16"/>
              </w:rPr>
            </w:pPr>
            <w:r>
              <w:rPr>
                <w:rFonts w:ascii="Arial" w:hAnsi="Arial" w:cs="Arial"/>
                <w:sz w:val="16"/>
                <w:szCs w:val="16"/>
              </w:rPr>
              <w:t xml:space="preserve">9 </w:t>
            </w:r>
          </w:p>
        </w:tc>
        <w:tc>
          <w:tcPr>
            <w:tcW w:w="1000" w:type="dxa"/>
            <w:tcBorders>
              <w:top w:val="nil"/>
              <w:left w:val="nil"/>
              <w:bottom w:val="nil"/>
              <w:right w:val="nil"/>
            </w:tcBorders>
            <w:noWrap/>
            <w:vAlign w:val="center"/>
            <w:hideMark/>
          </w:tcPr>
          <w:p w14:paraId="08737A3E" w14:textId="77777777" w:rsidR="00A826A8" w:rsidRDefault="00A826A8">
            <w:pPr>
              <w:jc w:val="right"/>
              <w:rPr>
                <w:rFonts w:ascii="Arial" w:hAnsi="Arial" w:cs="Arial"/>
                <w:sz w:val="16"/>
                <w:szCs w:val="16"/>
              </w:rPr>
            </w:pPr>
            <w:r>
              <w:rPr>
                <w:rFonts w:ascii="Arial" w:hAnsi="Arial" w:cs="Arial"/>
                <w:sz w:val="16"/>
                <w:szCs w:val="16"/>
              </w:rPr>
              <w:t xml:space="preserve">10 </w:t>
            </w:r>
          </w:p>
        </w:tc>
      </w:tr>
      <w:tr w:rsidR="00A826A8" w14:paraId="04CE77F2" w14:textId="77777777" w:rsidTr="00A826A8">
        <w:trPr>
          <w:trHeight w:val="200"/>
        </w:trPr>
        <w:tc>
          <w:tcPr>
            <w:tcW w:w="4980" w:type="dxa"/>
            <w:tcBorders>
              <w:top w:val="nil"/>
              <w:left w:val="nil"/>
              <w:bottom w:val="nil"/>
              <w:right w:val="nil"/>
            </w:tcBorders>
            <w:noWrap/>
            <w:vAlign w:val="center"/>
            <w:hideMark/>
          </w:tcPr>
          <w:p w14:paraId="1E8F2C47" w14:textId="77777777" w:rsidR="00A826A8" w:rsidRDefault="00A826A8">
            <w:pPr>
              <w:rPr>
                <w:rFonts w:ascii="Arial" w:hAnsi="Arial" w:cs="Arial"/>
                <w:sz w:val="16"/>
                <w:szCs w:val="16"/>
              </w:rPr>
            </w:pPr>
            <w:r>
              <w:rPr>
                <w:rFonts w:ascii="Arial" w:hAnsi="Arial" w:cs="Arial"/>
                <w:sz w:val="16"/>
                <w:szCs w:val="16"/>
              </w:rPr>
              <w:t>Produit de cession</w:t>
            </w:r>
          </w:p>
        </w:tc>
        <w:tc>
          <w:tcPr>
            <w:tcW w:w="185" w:type="dxa"/>
            <w:tcBorders>
              <w:top w:val="nil"/>
              <w:left w:val="nil"/>
              <w:bottom w:val="nil"/>
              <w:right w:val="nil"/>
            </w:tcBorders>
            <w:noWrap/>
            <w:vAlign w:val="center"/>
            <w:hideMark/>
          </w:tcPr>
          <w:p w14:paraId="75A271D6"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73F61AF8"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375A297"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12EB567F"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961FF3B"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F896401"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0118B666" w14:textId="77777777" w:rsidTr="00A826A8">
        <w:trPr>
          <w:trHeight w:val="200"/>
        </w:trPr>
        <w:tc>
          <w:tcPr>
            <w:tcW w:w="4980" w:type="dxa"/>
            <w:tcBorders>
              <w:top w:val="nil"/>
              <w:left w:val="nil"/>
              <w:bottom w:val="nil"/>
              <w:right w:val="nil"/>
            </w:tcBorders>
            <w:noWrap/>
            <w:vAlign w:val="center"/>
            <w:hideMark/>
          </w:tcPr>
          <w:p w14:paraId="7FDC42DF" w14:textId="77777777" w:rsidR="00A826A8" w:rsidRDefault="00A826A8">
            <w:pPr>
              <w:rPr>
                <w:rFonts w:ascii="Arial" w:hAnsi="Arial" w:cs="Arial"/>
                <w:sz w:val="16"/>
                <w:szCs w:val="16"/>
              </w:rPr>
            </w:pPr>
            <w:r>
              <w:rPr>
                <w:rFonts w:ascii="Arial" w:hAnsi="Arial" w:cs="Arial"/>
                <w:sz w:val="16"/>
                <w:szCs w:val="16"/>
              </w:rPr>
              <w:t>Refinancement</w:t>
            </w:r>
          </w:p>
        </w:tc>
        <w:tc>
          <w:tcPr>
            <w:tcW w:w="185" w:type="dxa"/>
            <w:tcBorders>
              <w:top w:val="nil"/>
              <w:left w:val="nil"/>
              <w:bottom w:val="nil"/>
              <w:right w:val="nil"/>
            </w:tcBorders>
            <w:noWrap/>
            <w:vAlign w:val="center"/>
            <w:hideMark/>
          </w:tcPr>
          <w:p w14:paraId="3FFE5B8C"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1C0AF17D"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6ADF03E7"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8A5974D"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3AA2B7B"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252E49A" w14:textId="77777777" w:rsidR="00A826A8" w:rsidRDefault="00A826A8">
            <w:pPr>
              <w:jc w:val="right"/>
              <w:rPr>
                <w:rFonts w:ascii="Arial" w:hAnsi="Arial" w:cs="Arial"/>
                <w:sz w:val="16"/>
                <w:szCs w:val="16"/>
              </w:rPr>
            </w:pPr>
            <w:r>
              <w:rPr>
                <w:rFonts w:ascii="Arial" w:hAnsi="Arial" w:cs="Arial"/>
                <w:sz w:val="16"/>
                <w:szCs w:val="16"/>
              </w:rPr>
              <w:t xml:space="preserve">406 </w:t>
            </w:r>
          </w:p>
        </w:tc>
      </w:tr>
      <w:tr w:rsidR="00A826A8" w14:paraId="6469FFD3" w14:textId="77777777" w:rsidTr="00A826A8">
        <w:trPr>
          <w:trHeight w:val="200"/>
        </w:trPr>
        <w:tc>
          <w:tcPr>
            <w:tcW w:w="4980" w:type="dxa"/>
            <w:tcBorders>
              <w:top w:val="nil"/>
              <w:left w:val="nil"/>
              <w:bottom w:val="nil"/>
              <w:right w:val="nil"/>
            </w:tcBorders>
            <w:noWrap/>
            <w:vAlign w:val="center"/>
            <w:hideMark/>
          </w:tcPr>
          <w:p w14:paraId="2C1A215A" w14:textId="77777777" w:rsidR="00A826A8" w:rsidRDefault="00A826A8">
            <w:pPr>
              <w:rPr>
                <w:rFonts w:ascii="Arial" w:hAnsi="Arial" w:cs="Arial"/>
                <w:sz w:val="16"/>
                <w:szCs w:val="16"/>
              </w:rPr>
            </w:pPr>
            <w:r>
              <w:rPr>
                <w:rFonts w:ascii="Arial" w:hAnsi="Arial" w:cs="Arial"/>
                <w:sz w:val="16"/>
                <w:szCs w:val="16"/>
              </w:rPr>
              <w:t>Neutralisation des div. liés aux créances pénales et &lt; 500€</w:t>
            </w:r>
          </w:p>
        </w:tc>
        <w:tc>
          <w:tcPr>
            <w:tcW w:w="185" w:type="dxa"/>
            <w:tcBorders>
              <w:top w:val="nil"/>
              <w:left w:val="nil"/>
              <w:bottom w:val="nil"/>
              <w:right w:val="nil"/>
            </w:tcBorders>
            <w:noWrap/>
            <w:vAlign w:val="center"/>
            <w:hideMark/>
          </w:tcPr>
          <w:p w14:paraId="017E3951"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62697935" w14:textId="77777777" w:rsidR="00A826A8" w:rsidRDefault="00A826A8">
            <w:pPr>
              <w:jc w:val="right"/>
              <w:rPr>
                <w:rFonts w:ascii="Arial" w:hAnsi="Arial" w:cs="Arial"/>
                <w:sz w:val="16"/>
                <w:szCs w:val="16"/>
              </w:rPr>
            </w:pPr>
            <w:r>
              <w:rPr>
                <w:rFonts w:ascii="Arial" w:hAnsi="Arial" w:cs="Arial"/>
                <w:sz w:val="16"/>
                <w:szCs w:val="16"/>
              </w:rPr>
              <w:t xml:space="preserve">0 </w:t>
            </w:r>
          </w:p>
        </w:tc>
        <w:tc>
          <w:tcPr>
            <w:tcW w:w="1000" w:type="dxa"/>
            <w:tcBorders>
              <w:top w:val="nil"/>
              <w:left w:val="nil"/>
              <w:bottom w:val="nil"/>
              <w:right w:val="nil"/>
            </w:tcBorders>
            <w:noWrap/>
            <w:vAlign w:val="center"/>
            <w:hideMark/>
          </w:tcPr>
          <w:p w14:paraId="035BBEDD" w14:textId="77777777" w:rsidR="00A826A8" w:rsidRDefault="00A826A8">
            <w:pPr>
              <w:jc w:val="right"/>
              <w:rPr>
                <w:rFonts w:ascii="Arial" w:hAnsi="Arial" w:cs="Arial"/>
                <w:sz w:val="16"/>
                <w:szCs w:val="16"/>
              </w:rPr>
            </w:pPr>
            <w:r>
              <w:rPr>
                <w:rFonts w:ascii="Arial" w:hAnsi="Arial" w:cs="Arial"/>
                <w:sz w:val="16"/>
                <w:szCs w:val="16"/>
              </w:rPr>
              <w:t xml:space="preserve">0 </w:t>
            </w:r>
          </w:p>
        </w:tc>
        <w:tc>
          <w:tcPr>
            <w:tcW w:w="1000" w:type="dxa"/>
            <w:tcBorders>
              <w:top w:val="nil"/>
              <w:left w:val="nil"/>
              <w:bottom w:val="nil"/>
              <w:right w:val="nil"/>
            </w:tcBorders>
            <w:noWrap/>
            <w:vAlign w:val="center"/>
            <w:hideMark/>
          </w:tcPr>
          <w:p w14:paraId="71B5C806" w14:textId="77777777" w:rsidR="00A826A8" w:rsidRDefault="00A826A8">
            <w:pPr>
              <w:jc w:val="right"/>
              <w:rPr>
                <w:rFonts w:ascii="Arial" w:hAnsi="Arial" w:cs="Arial"/>
                <w:sz w:val="16"/>
                <w:szCs w:val="16"/>
              </w:rPr>
            </w:pPr>
            <w:r>
              <w:rPr>
                <w:rFonts w:ascii="Arial" w:hAnsi="Arial" w:cs="Arial"/>
                <w:sz w:val="16"/>
                <w:szCs w:val="16"/>
              </w:rPr>
              <w:t xml:space="preserve">0 </w:t>
            </w:r>
          </w:p>
        </w:tc>
        <w:tc>
          <w:tcPr>
            <w:tcW w:w="1000" w:type="dxa"/>
            <w:tcBorders>
              <w:top w:val="nil"/>
              <w:left w:val="nil"/>
              <w:bottom w:val="nil"/>
              <w:right w:val="nil"/>
            </w:tcBorders>
            <w:noWrap/>
            <w:vAlign w:val="center"/>
            <w:hideMark/>
          </w:tcPr>
          <w:p w14:paraId="65C780AB" w14:textId="77777777" w:rsidR="00A826A8" w:rsidRDefault="00A826A8">
            <w:pPr>
              <w:jc w:val="right"/>
              <w:rPr>
                <w:rFonts w:ascii="Arial" w:hAnsi="Arial" w:cs="Arial"/>
                <w:sz w:val="16"/>
                <w:szCs w:val="16"/>
              </w:rPr>
            </w:pPr>
            <w:r>
              <w:rPr>
                <w:rFonts w:ascii="Arial" w:hAnsi="Arial" w:cs="Arial"/>
                <w:sz w:val="16"/>
                <w:szCs w:val="16"/>
              </w:rPr>
              <w:t xml:space="preserve">0 </w:t>
            </w:r>
          </w:p>
        </w:tc>
        <w:tc>
          <w:tcPr>
            <w:tcW w:w="1000" w:type="dxa"/>
            <w:tcBorders>
              <w:top w:val="nil"/>
              <w:left w:val="nil"/>
              <w:bottom w:val="nil"/>
              <w:right w:val="nil"/>
            </w:tcBorders>
            <w:noWrap/>
            <w:vAlign w:val="center"/>
            <w:hideMark/>
          </w:tcPr>
          <w:p w14:paraId="31A00EF1" w14:textId="77777777" w:rsidR="00A826A8" w:rsidRDefault="00A826A8">
            <w:pPr>
              <w:jc w:val="right"/>
              <w:rPr>
                <w:rFonts w:ascii="Arial" w:hAnsi="Arial" w:cs="Arial"/>
                <w:sz w:val="16"/>
                <w:szCs w:val="16"/>
              </w:rPr>
            </w:pPr>
            <w:r>
              <w:rPr>
                <w:rFonts w:ascii="Arial" w:hAnsi="Arial" w:cs="Arial"/>
                <w:sz w:val="16"/>
                <w:szCs w:val="16"/>
              </w:rPr>
              <w:t xml:space="preserve">0 </w:t>
            </w:r>
          </w:p>
        </w:tc>
      </w:tr>
      <w:tr w:rsidR="00A826A8" w14:paraId="20C00548" w14:textId="77777777" w:rsidTr="00A826A8">
        <w:trPr>
          <w:trHeight w:val="200"/>
        </w:trPr>
        <w:tc>
          <w:tcPr>
            <w:tcW w:w="4980" w:type="dxa"/>
            <w:tcBorders>
              <w:top w:val="nil"/>
              <w:left w:val="nil"/>
              <w:bottom w:val="nil"/>
              <w:right w:val="nil"/>
            </w:tcBorders>
            <w:noWrap/>
            <w:vAlign w:val="center"/>
            <w:hideMark/>
          </w:tcPr>
          <w:p w14:paraId="51883E68" w14:textId="77777777" w:rsidR="00A826A8" w:rsidRDefault="00A826A8">
            <w:pPr>
              <w:rPr>
                <w:rFonts w:ascii="Arial" w:hAnsi="Arial" w:cs="Arial"/>
                <w:sz w:val="16"/>
                <w:szCs w:val="16"/>
              </w:rPr>
            </w:pPr>
            <w:r>
              <w:rPr>
                <w:rFonts w:ascii="Arial" w:hAnsi="Arial" w:cs="Arial"/>
                <w:sz w:val="16"/>
                <w:szCs w:val="16"/>
              </w:rPr>
              <w:t>Paiement des créances pénales et créances &lt; 500€</w:t>
            </w:r>
          </w:p>
        </w:tc>
        <w:tc>
          <w:tcPr>
            <w:tcW w:w="185" w:type="dxa"/>
            <w:tcBorders>
              <w:top w:val="nil"/>
              <w:left w:val="nil"/>
              <w:bottom w:val="nil"/>
              <w:right w:val="nil"/>
            </w:tcBorders>
            <w:noWrap/>
            <w:vAlign w:val="center"/>
            <w:hideMark/>
          </w:tcPr>
          <w:p w14:paraId="72CF062D"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0B2CE9DB" w14:textId="77777777" w:rsidR="00A826A8" w:rsidRDefault="00A826A8">
            <w:pPr>
              <w:jc w:val="right"/>
              <w:rPr>
                <w:rFonts w:ascii="Arial" w:hAnsi="Arial" w:cs="Arial"/>
                <w:sz w:val="16"/>
                <w:szCs w:val="16"/>
              </w:rPr>
            </w:pPr>
            <w:r>
              <w:rPr>
                <w:rFonts w:ascii="Arial" w:hAnsi="Arial" w:cs="Arial"/>
                <w:sz w:val="16"/>
                <w:szCs w:val="16"/>
              </w:rPr>
              <w:t>(0)</w:t>
            </w:r>
          </w:p>
        </w:tc>
        <w:tc>
          <w:tcPr>
            <w:tcW w:w="1000" w:type="dxa"/>
            <w:tcBorders>
              <w:top w:val="nil"/>
              <w:left w:val="nil"/>
              <w:bottom w:val="nil"/>
              <w:right w:val="nil"/>
            </w:tcBorders>
            <w:noWrap/>
            <w:vAlign w:val="center"/>
            <w:hideMark/>
          </w:tcPr>
          <w:p w14:paraId="551433A0"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30D5C64"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29E24F2"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77FC2FBB"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2BFB8FE6" w14:textId="77777777" w:rsidTr="00A826A8">
        <w:trPr>
          <w:trHeight w:val="200"/>
        </w:trPr>
        <w:tc>
          <w:tcPr>
            <w:tcW w:w="4980" w:type="dxa"/>
            <w:tcBorders>
              <w:top w:val="nil"/>
              <w:left w:val="nil"/>
              <w:bottom w:val="nil"/>
              <w:right w:val="nil"/>
            </w:tcBorders>
            <w:noWrap/>
            <w:vAlign w:val="center"/>
            <w:hideMark/>
          </w:tcPr>
          <w:p w14:paraId="019767D0" w14:textId="77777777" w:rsidR="00A826A8" w:rsidRDefault="00A826A8">
            <w:pPr>
              <w:rPr>
                <w:rFonts w:ascii="Arial" w:hAnsi="Arial" w:cs="Arial"/>
                <w:sz w:val="16"/>
                <w:szCs w:val="16"/>
              </w:rPr>
            </w:pPr>
            <w:r>
              <w:rPr>
                <w:rFonts w:ascii="Arial" w:hAnsi="Arial" w:cs="Arial"/>
                <w:sz w:val="16"/>
                <w:szCs w:val="16"/>
              </w:rPr>
              <w:t>Trésorerie initiale</w:t>
            </w:r>
          </w:p>
        </w:tc>
        <w:tc>
          <w:tcPr>
            <w:tcW w:w="185" w:type="dxa"/>
            <w:tcBorders>
              <w:top w:val="nil"/>
              <w:left w:val="nil"/>
              <w:bottom w:val="nil"/>
              <w:right w:val="nil"/>
            </w:tcBorders>
            <w:noWrap/>
            <w:vAlign w:val="center"/>
            <w:hideMark/>
          </w:tcPr>
          <w:p w14:paraId="28764312"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5BF7DF55" w14:textId="77777777" w:rsidR="00A826A8" w:rsidRDefault="00A826A8">
            <w:pPr>
              <w:jc w:val="right"/>
              <w:rPr>
                <w:rFonts w:ascii="Arial" w:hAnsi="Arial" w:cs="Arial"/>
                <w:sz w:val="16"/>
                <w:szCs w:val="16"/>
              </w:rPr>
            </w:pPr>
            <w:r>
              <w:rPr>
                <w:rFonts w:ascii="Arial" w:hAnsi="Arial" w:cs="Arial"/>
                <w:sz w:val="16"/>
                <w:szCs w:val="16"/>
              </w:rPr>
              <w:t>(1)</w:t>
            </w:r>
          </w:p>
        </w:tc>
        <w:tc>
          <w:tcPr>
            <w:tcW w:w="1000" w:type="dxa"/>
            <w:tcBorders>
              <w:top w:val="nil"/>
              <w:left w:val="nil"/>
              <w:bottom w:val="nil"/>
              <w:right w:val="nil"/>
            </w:tcBorders>
            <w:shd w:val="clear" w:color="000000" w:fill="auto"/>
            <w:noWrap/>
            <w:vAlign w:val="center"/>
            <w:hideMark/>
          </w:tcPr>
          <w:p w14:paraId="4F3FA465" w14:textId="77777777" w:rsidR="00A826A8" w:rsidRDefault="00A826A8">
            <w:pPr>
              <w:jc w:val="right"/>
              <w:rPr>
                <w:rFonts w:ascii="Arial" w:hAnsi="Arial" w:cs="Arial"/>
                <w:sz w:val="16"/>
                <w:szCs w:val="16"/>
              </w:rPr>
            </w:pPr>
          </w:p>
        </w:tc>
        <w:tc>
          <w:tcPr>
            <w:tcW w:w="1000" w:type="dxa"/>
            <w:tcBorders>
              <w:top w:val="nil"/>
              <w:left w:val="nil"/>
              <w:bottom w:val="nil"/>
              <w:right w:val="nil"/>
            </w:tcBorders>
            <w:shd w:val="clear" w:color="000000" w:fill="auto"/>
            <w:noWrap/>
            <w:vAlign w:val="center"/>
            <w:hideMark/>
          </w:tcPr>
          <w:p w14:paraId="5792970C" w14:textId="77777777" w:rsidR="00A826A8" w:rsidRDefault="00A826A8">
            <w:pPr>
              <w:jc w:val="right"/>
              <w:rPr>
                <w:sz w:val="20"/>
                <w:szCs w:val="20"/>
              </w:rPr>
            </w:pPr>
          </w:p>
        </w:tc>
        <w:tc>
          <w:tcPr>
            <w:tcW w:w="1000" w:type="dxa"/>
            <w:tcBorders>
              <w:top w:val="nil"/>
              <w:left w:val="nil"/>
              <w:bottom w:val="nil"/>
              <w:right w:val="nil"/>
            </w:tcBorders>
            <w:shd w:val="clear" w:color="000000" w:fill="auto"/>
            <w:noWrap/>
            <w:vAlign w:val="center"/>
            <w:hideMark/>
          </w:tcPr>
          <w:p w14:paraId="2DB997D4" w14:textId="77777777" w:rsidR="00A826A8" w:rsidRDefault="00A826A8">
            <w:pPr>
              <w:jc w:val="right"/>
              <w:rPr>
                <w:sz w:val="20"/>
                <w:szCs w:val="20"/>
              </w:rPr>
            </w:pPr>
          </w:p>
        </w:tc>
        <w:tc>
          <w:tcPr>
            <w:tcW w:w="1000" w:type="dxa"/>
            <w:tcBorders>
              <w:top w:val="nil"/>
              <w:left w:val="nil"/>
              <w:bottom w:val="nil"/>
              <w:right w:val="nil"/>
            </w:tcBorders>
            <w:shd w:val="clear" w:color="000000" w:fill="auto"/>
            <w:noWrap/>
            <w:vAlign w:val="center"/>
            <w:hideMark/>
          </w:tcPr>
          <w:p w14:paraId="44026C25" w14:textId="77777777" w:rsidR="00A826A8" w:rsidRDefault="00A826A8">
            <w:pPr>
              <w:jc w:val="right"/>
              <w:rPr>
                <w:sz w:val="20"/>
                <w:szCs w:val="20"/>
              </w:rPr>
            </w:pPr>
          </w:p>
        </w:tc>
      </w:tr>
      <w:tr w:rsidR="00A826A8" w14:paraId="6C3ECC08" w14:textId="77777777" w:rsidTr="00A826A8">
        <w:trPr>
          <w:trHeight w:val="108"/>
        </w:trPr>
        <w:tc>
          <w:tcPr>
            <w:tcW w:w="4980" w:type="dxa"/>
            <w:tcBorders>
              <w:top w:val="nil"/>
              <w:left w:val="nil"/>
              <w:bottom w:val="nil"/>
              <w:right w:val="nil"/>
            </w:tcBorders>
            <w:noWrap/>
            <w:vAlign w:val="center"/>
            <w:hideMark/>
          </w:tcPr>
          <w:p w14:paraId="6CCC36D4" w14:textId="77777777" w:rsidR="00A826A8" w:rsidRDefault="00A826A8">
            <w:pPr>
              <w:jc w:val="right"/>
              <w:rPr>
                <w:sz w:val="20"/>
                <w:szCs w:val="20"/>
              </w:rPr>
            </w:pPr>
          </w:p>
        </w:tc>
        <w:tc>
          <w:tcPr>
            <w:tcW w:w="185" w:type="dxa"/>
            <w:tcBorders>
              <w:top w:val="nil"/>
              <w:left w:val="nil"/>
              <w:bottom w:val="nil"/>
              <w:right w:val="nil"/>
            </w:tcBorders>
            <w:noWrap/>
            <w:vAlign w:val="center"/>
            <w:hideMark/>
          </w:tcPr>
          <w:p w14:paraId="71605FC5" w14:textId="77777777" w:rsidR="00A826A8" w:rsidRDefault="00A826A8">
            <w:pPr>
              <w:rPr>
                <w:sz w:val="20"/>
                <w:szCs w:val="20"/>
              </w:rPr>
            </w:pPr>
          </w:p>
        </w:tc>
        <w:tc>
          <w:tcPr>
            <w:tcW w:w="1000" w:type="dxa"/>
            <w:tcBorders>
              <w:top w:val="nil"/>
              <w:left w:val="nil"/>
              <w:bottom w:val="nil"/>
              <w:right w:val="nil"/>
            </w:tcBorders>
            <w:noWrap/>
            <w:vAlign w:val="center"/>
            <w:hideMark/>
          </w:tcPr>
          <w:p w14:paraId="1946F30B" w14:textId="77777777" w:rsidR="00A826A8" w:rsidRDefault="00A826A8">
            <w:pPr>
              <w:rPr>
                <w:sz w:val="20"/>
                <w:szCs w:val="20"/>
              </w:rPr>
            </w:pPr>
          </w:p>
        </w:tc>
        <w:tc>
          <w:tcPr>
            <w:tcW w:w="1000" w:type="dxa"/>
            <w:tcBorders>
              <w:top w:val="nil"/>
              <w:left w:val="nil"/>
              <w:bottom w:val="nil"/>
              <w:right w:val="nil"/>
            </w:tcBorders>
            <w:noWrap/>
            <w:vAlign w:val="center"/>
            <w:hideMark/>
          </w:tcPr>
          <w:p w14:paraId="51E6A4D1"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184DCC21"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7B9CDE88"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C1211B9" w14:textId="77777777" w:rsidR="00A826A8" w:rsidRDefault="00A826A8">
            <w:pPr>
              <w:jc w:val="right"/>
              <w:rPr>
                <w:sz w:val="20"/>
                <w:szCs w:val="20"/>
              </w:rPr>
            </w:pPr>
          </w:p>
        </w:tc>
      </w:tr>
      <w:tr w:rsidR="00A826A8" w14:paraId="5BF0E2ED" w14:textId="77777777" w:rsidTr="00A826A8">
        <w:trPr>
          <w:trHeight w:val="210"/>
        </w:trPr>
        <w:tc>
          <w:tcPr>
            <w:tcW w:w="4980" w:type="dxa"/>
            <w:tcBorders>
              <w:top w:val="single" w:sz="4" w:space="0" w:color="7F7F7F"/>
              <w:left w:val="nil"/>
              <w:bottom w:val="single" w:sz="4" w:space="0" w:color="7F7F7F"/>
              <w:right w:val="nil"/>
            </w:tcBorders>
            <w:shd w:val="clear" w:color="000000" w:fill="DCE6F1"/>
            <w:noWrap/>
            <w:vAlign w:val="center"/>
            <w:hideMark/>
          </w:tcPr>
          <w:p w14:paraId="40264957" w14:textId="77777777" w:rsidR="00A826A8" w:rsidRDefault="00A826A8">
            <w:pPr>
              <w:rPr>
                <w:rFonts w:ascii="Arial" w:hAnsi="Arial" w:cs="Arial"/>
                <w:b/>
                <w:bCs/>
                <w:color w:val="000000"/>
                <w:sz w:val="16"/>
                <w:szCs w:val="16"/>
              </w:rPr>
            </w:pPr>
            <w:r>
              <w:rPr>
                <w:rFonts w:ascii="Arial" w:hAnsi="Arial" w:cs="Arial"/>
                <w:b/>
                <w:bCs/>
                <w:color w:val="000000"/>
                <w:sz w:val="16"/>
                <w:szCs w:val="16"/>
              </w:rPr>
              <w:t>(Besoin) / Surplus cumulé - Avant actionnaires</w:t>
            </w:r>
          </w:p>
        </w:tc>
        <w:tc>
          <w:tcPr>
            <w:tcW w:w="185" w:type="dxa"/>
            <w:tcBorders>
              <w:top w:val="single" w:sz="4" w:space="0" w:color="7F7F7F"/>
              <w:left w:val="nil"/>
              <w:bottom w:val="single" w:sz="4" w:space="0" w:color="7F7F7F"/>
              <w:right w:val="nil"/>
            </w:tcBorders>
            <w:shd w:val="clear" w:color="000000" w:fill="DCE6F1"/>
            <w:noWrap/>
            <w:vAlign w:val="center"/>
            <w:hideMark/>
          </w:tcPr>
          <w:p w14:paraId="17D860F4"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DCE6F1"/>
            <w:noWrap/>
            <w:vAlign w:val="center"/>
            <w:hideMark/>
          </w:tcPr>
          <w:p w14:paraId="630C3C04"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4 </w:t>
            </w:r>
          </w:p>
        </w:tc>
        <w:tc>
          <w:tcPr>
            <w:tcW w:w="1000" w:type="dxa"/>
            <w:tcBorders>
              <w:top w:val="single" w:sz="4" w:space="0" w:color="7F7F7F"/>
              <w:left w:val="nil"/>
              <w:bottom w:val="single" w:sz="4" w:space="0" w:color="7F7F7F"/>
              <w:right w:val="nil"/>
            </w:tcBorders>
            <w:shd w:val="clear" w:color="000000" w:fill="DCE6F1"/>
            <w:noWrap/>
            <w:vAlign w:val="center"/>
            <w:hideMark/>
          </w:tcPr>
          <w:p w14:paraId="67675B50"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0327018E"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0A7350DF"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04F23BE8"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258 </w:t>
            </w:r>
          </w:p>
        </w:tc>
      </w:tr>
      <w:tr w:rsidR="00A826A8" w14:paraId="0C86C80A" w14:textId="77777777" w:rsidTr="00A826A8">
        <w:trPr>
          <w:trHeight w:val="108"/>
        </w:trPr>
        <w:tc>
          <w:tcPr>
            <w:tcW w:w="4980" w:type="dxa"/>
            <w:tcBorders>
              <w:top w:val="nil"/>
              <w:left w:val="nil"/>
              <w:bottom w:val="nil"/>
              <w:right w:val="nil"/>
            </w:tcBorders>
            <w:noWrap/>
            <w:vAlign w:val="center"/>
            <w:hideMark/>
          </w:tcPr>
          <w:p w14:paraId="433E7CC3"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4F450F8B" w14:textId="77777777" w:rsidR="00A826A8" w:rsidRDefault="00A826A8">
            <w:pPr>
              <w:rPr>
                <w:sz w:val="20"/>
                <w:szCs w:val="20"/>
              </w:rPr>
            </w:pPr>
          </w:p>
        </w:tc>
        <w:tc>
          <w:tcPr>
            <w:tcW w:w="1000" w:type="dxa"/>
            <w:tcBorders>
              <w:top w:val="nil"/>
              <w:left w:val="nil"/>
              <w:bottom w:val="nil"/>
              <w:right w:val="nil"/>
            </w:tcBorders>
            <w:noWrap/>
            <w:vAlign w:val="center"/>
            <w:hideMark/>
          </w:tcPr>
          <w:p w14:paraId="27722502" w14:textId="77777777" w:rsidR="00A826A8" w:rsidRDefault="00A826A8">
            <w:pPr>
              <w:rPr>
                <w:sz w:val="20"/>
                <w:szCs w:val="20"/>
              </w:rPr>
            </w:pPr>
          </w:p>
        </w:tc>
        <w:tc>
          <w:tcPr>
            <w:tcW w:w="1000" w:type="dxa"/>
            <w:tcBorders>
              <w:top w:val="nil"/>
              <w:left w:val="nil"/>
              <w:bottom w:val="nil"/>
              <w:right w:val="nil"/>
            </w:tcBorders>
            <w:noWrap/>
            <w:vAlign w:val="center"/>
            <w:hideMark/>
          </w:tcPr>
          <w:p w14:paraId="61028B93"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39B17C0A"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68F06C37"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6A7458FD" w14:textId="77777777" w:rsidR="00A826A8" w:rsidRDefault="00A826A8">
            <w:pPr>
              <w:jc w:val="right"/>
              <w:rPr>
                <w:sz w:val="20"/>
                <w:szCs w:val="20"/>
              </w:rPr>
            </w:pPr>
          </w:p>
        </w:tc>
      </w:tr>
      <w:tr w:rsidR="00A826A8" w14:paraId="1E740F05" w14:textId="77777777" w:rsidTr="00A826A8">
        <w:trPr>
          <w:trHeight w:val="210"/>
        </w:trPr>
        <w:tc>
          <w:tcPr>
            <w:tcW w:w="4980" w:type="dxa"/>
            <w:tcBorders>
              <w:top w:val="single" w:sz="4" w:space="0" w:color="7F7F7F"/>
              <w:left w:val="nil"/>
              <w:bottom w:val="single" w:sz="4" w:space="0" w:color="7F7F7F"/>
              <w:right w:val="nil"/>
            </w:tcBorders>
            <w:shd w:val="clear" w:color="000000" w:fill="ECF2F8"/>
            <w:noWrap/>
            <w:vAlign w:val="center"/>
            <w:hideMark/>
          </w:tcPr>
          <w:p w14:paraId="29B4F137" w14:textId="77777777" w:rsidR="00A826A8" w:rsidRDefault="00A826A8">
            <w:pPr>
              <w:rPr>
                <w:rFonts w:ascii="Arial" w:hAnsi="Arial" w:cs="Arial"/>
                <w:b/>
                <w:bCs/>
                <w:color w:val="000000"/>
                <w:sz w:val="16"/>
                <w:szCs w:val="16"/>
              </w:rPr>
            </w:pPr>
            <w:r>
              <w:rPr>
                <w:rFonts w:ascii="Arial" w:hAnsi="Arial" w:cs="Arial"/>
                <w:b/>
                <w:bCs/>
                <w:color w:val="000000"/>
                <w:sz w:val="16"/>
                <w:szCs w:val="16"/>
              </w:rPr>
              <w:t>Point bas intra-période - Avant actionnaires</w:t>
            </w:r>
          </w:p>
        </w:tc>
        <w:tc>
          <w:tcPr>
            <w:tcW w:w="185" w:type="dxa"/>
            <w:tcBorders>
              <w:top w:val="single" w:sz="4" w:space="0" w:color="7F7F7F"/>
              <w:left w:val="nil"/>
              <w:bottom w:val="single" w:sz="4" w:space="0" w:color="7F7F7F"/>
              <w:right w:val="nil"/>
            </w:tcBorders>
            <w:shd w:val="clear" w:color="000000" w:fill="ECF2F8"/>
            <w:noWrap/>
            <w:vAlign w:val="center"/>
            <w:hideMark/>
          </w:tcPr>
          <w:p w14:paraId="1D968CB2"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33A0479B"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 </w:t>
            </w:r>
          </w:p>
        </w:tc>
        <w:tc>
          <w:tcPr>
            <w:tcW w:w="1000" w:type="dxa"/>
            <w:tcBorders>
              <w:top w:val="single" w:sz="4" w:space="0" w:color="7F7F7F"/>
              <w:left w:val="nil"/>
              <w:bottom w:val="single" w:sz="4" w:space="0" w:color="7F7F7F"/>
              <w:right w:val="nil"/>
            </w:tcBorders>
            <w:shd w:val="clear" w:color="000000" w:fill="ECF2F8"/>
            <w:noWrap/>
            <w:vAlign w:val="center"/>
            <w:hideMark/>
          </w:tcPr>
          <w:p w14:paraId="26E7CEF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7 </w:t>
            </w:r>
          </w:p>
        </w:tc>
        <w:tc>
          <w:tcPr>
            <w:tcW w:w="1000" w:type="dxa"/>
            <w:tcBorders>
              <w:top w:val="single" w:sz="4" w:space="0" w:color="7F7F7F"/>
              <w:left w:val="nil"/>
              <w:bottom w:val="single" w:sz="4" w:space="0" w:color="7F7F7F"/>
              <w:right w:val="nil"/>
            </w:tcBorders>
            <w:shd w:val="clear" w:color="000000" w:fill="ECF2F8"/>
            <w:noWrap/>
            <w:vAlign w:val="center"/>
            <w:hideMark/>
          </w:tcPr>
          <w:p w14:paraId="25FBA26A"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41927754"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2AF89B8C"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14 </w:t>
            </w:r>
          </w:p>
        </w:tc>
      </w:tr>
      <w:tr w:rsidR="00A826A8" w14:paraId="6893DB9D" w14:textId="77777777" w:rsidTr="00A826A8">
        <w:trPr>
          <w:trHeight w:val="108"/>
        </w:trPr>
        <w:tc>
          <w:tcPr>
            <w:tcW w:w="4980" w:type="dxa"/>
            <w:tcBorders>
              <w:top w:val="nil"/>
              <w:left w:val="nil"/>
              <w:bottom w:val="nil"/>
              <w:right w:val="nil"/>
            </w:tcBorders>
            <w:noWrap/>
            <w:vAlign w:val="center"/>
            <w:hideMark/>
          </w:tcPr>
          <w:p w14:paraId="6570FF64"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3B029198" w14:textId="77777777" w:rsidR="00A826A8" w:rsidRDefault="00A826A8">
            <w:pPr>
              <w:rPr>
                <w:sz w:val="20"/>
                <w:szCs w:val="20"/>
              </w:rPr>
            </w:pPr>
          </w:p>
        </w:tc>
        <w:tc>
          <w:tcPr>
            <w:tcW w:w="1000" w:type="dxa"/>
            <w:tcBorders>
              <w:top w:val="nil"/>
              <w:left w:val="nil"/>
              <w:bottom w:val="nil"/>
              <w:right w:val="nil"/>
            </w:tcBorders>
            <w:noWrap/>
            <w:vAlign w:val="center"/>
            <w:hideMark/>
          </w:tcPr>
          <w:p w14:paraId="6C984E21" w14:textId="77777777" w:rsidR="00A826A8" w:rsidRDefault="00A826A8">
            <w:pPr>
              <w:rPr>
                <w:sz w:val="20"/>
                <w:szCs w:val="20"/>
              </w:rPr>
            </w:pPr>
          </w:p>
        </w:tc>
        <w:tc>
          <w:tcPr>
            <w:tcW w:w="1000" w:type="dxa"/>
            <w:tcBorders>
              <w:top w:val="nil"/>
              <w:left w:val="nil"/>
              <w:bottom w:val="nil"/>
              <w:right w:val="nil"/>
            </w:tcBorders>
            <w:noWrap/>
            <w:vAlign w:val="center"/>
            <w:hideMark/>
          </w:tcPr>
          <w:p w14:paraId="29FA46FE"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0182539F"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7FCEA9F7"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365B5335" w14:textId="77777777" w:rsidR="00A826A8" w:rsidRDefault="00A826A8">
            <w:pPr>
              <w:jc w:val="right"/>
              <w:rPr>
                <w:sz w:val="20"/>
                <w:szCs w:val="20"/>
              </w:rPr>
            </w:pPr>
          </w:p>
        </w:tc>
      </w:tr>
      <w:tr w:rsidR="00A826A8" w14:paraId="0CD4FA2C" w14:textId="77777777" w:rsidTr="00A826A8">
        <w:trPr>
          <w:trHeight w:val="200"/>
        </w:trPr>
        <w:tc>
          <w:tcPr>
            <w:tcW w:w="4980" w:type="dxa"/>
            <w:tcBorders>
              <w:top w:val="nil"/>
              <w:left w:val="nil"/>
              <w:bottom w:val="nil"/>
              <w:right w:val="nil"/>
            </w:tcBorders>
            <w:noWrap/>
            <w:vAlign w:val="center"/>
            <w:hideMark/>
          </w:tcPr>
          <w:p w14:paraId="0B5CFB31" w14:textId="77777777" w:rsidR="00A826A8" w:rsidRDefault="00A826A8">
            <w:pPr>
              <w:rPr>
                <w:rFonts w:ascii="Arial" w:hAnsi="Arial" w:cs="Arial"/>
                <w:sz w:val="16"/>
                <w:szCs w:val="16"/>
              </w:rPr>
            </w:pPr>
            <w:r>
              <w:rPr>
                <w:rFonts w:ascii="Arial" w:hAnsi="Arial" w:cs="Arial"/>
                <w:sz w:val="16"/>
                <w:szCs w:val="16"/>
              </w:rPr>
              <w:t>Part à verser à l'actionnaire minoritaire</w:t>
            </w:r>
          </w:p>
        </w:tc>
        <w:tc>
          <w:tcPr>
            <w:tcW w:w="185" w:type="dxa"/>
            <w:tcBorders>
              <w:top w:val="nil"/>
              <w:left w:val="nil"/>
              <w:bottom w:val="nil"/>
              <w:right w:val="nil"/>
            </w:tcBorders>
            <w:noWrap/>
            <w:vAlign w:val="center"/>
            <w:hideMark/>
          </w:tcPr>
          <w:p w14:paraId="091D4286"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428DB93D"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2083998"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0964D4B"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411FFE41"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369CC73"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57620666" w14:textId="77777777" w:rsidTr="00A826A8">
        <w:trPr>
          <w:trHeight w:val="200"/>
        </w:trPr>
        <w:tc>
          <w:tcPr>
            <w:tcW w:w="4980" w:type="dxa"/>
            <w:tcBorders>
              <w:top w:val="nil"/>
              <w:left w:val="nil"/>
              <w:bottom w:val="nil"/>
              <w:right w:val="nil"/>
            </w:tcBorders>
            <w:noWrap/>
            <w:vAlign w:val="center"/>
            <w:hideMark/>
          </w:tcPr>
          <w:p w14:paraId="618E2BC5" w14:textId="77777777" w:rsidR="00A826A8" w:rsidRDefault="00A826A8">
            <w:pPr>
              <w:rPr>
                <w:rFonts w:ascii="Arial" w:hAnsi="Arial" w:cs="Arial"/>
                <w:sz w:val="16"/>
                <w:szCs w:val="16"/>
              </w:rPr>
            </w:pPr>
            <w:r>
              <w:rPr>
                <w:rFonts w:ascii="Arial" w:hAnsi="Arial" w:cs="Arial"/>
                <w:sz w:val="16"/>
                <w:szCs w:val="16"/>
              </w:rPr>
              <w:t>Part à recevoir produit de cession</w:t>
            </w:r>
          </w:p>
        </w:tc>
        <w:tc>
          <w:tcPr>
            <w:tcW w:w="185" w:type="dxa"/>
            <w:tcBorders>
              <w:top w:val="nil"/>
              <w:left w:val="nil"/>
              <w:bottom w:val="nil"/>
              <w:right w:val="nil"/>
            </w:tcBorders>
            <w:noWrap/>
            <w:vAlign w:val="center"/>
            <w:hideMark/>
          </w:tcPr>
          <w:p w14:paraId="263210D7"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69BCCDA3"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B29D5A3"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EF58583"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C0FCE61"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556D2645"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4CB1981D" w14:textId="77777777" w:rsidTr="00A826A8">
        <w:trPr>
          <w:trHeight w:val="200"/>
        </w:trPr>
        <w:tc>
          <w:tcPr>
            <w:tcW w:w="4980" w:type="dxa"/>
            <w:tcBorders>
              <w:top w:val="nil"/>
              <w:left w:val="nil"/>
              <w:bottom w:val="nil"/>
              <w:right w:val="nil"/>
            </w:tcBorders>
            <w:noWrap/>
            <w:vAlign w:val="center"/>
            <w:hideMark/>
          </w:tcPr>
          <w:p w14:paraId="669C4F05" w14:textId="77777777" w:rsidR="00A826A8" w:rsidRDefault="00A826A8">
            <w:pPr>
              <w:rPr>
                <w:rFonts w:ascii="Arial" w:hAnsi="Arial" w:cs="Arial"/>
                <w:sz w:val="16"/>
                <w:szCs w:val="16"/>
              </w:rPr>
            </w:pPr>
            <w:r>
              <w:rPr>
                <w:rFonts w:ascii="Arial" w:hAnsi="Arial" w:cs="Arial"/>
                <w:sz w:val="16"/>
                <w:szCs w:val="16"/>
              </w:rPr>
              <w:t>Autres parts à recevoir (Périmètre hors RJ)</w:t>
            </w:r>
          </w:p>
        </w:tc>
        <w:tc>
          <w:tcPr>
            <w:tcW w:w="185" w:type="dxa"/>
            <w:tcBorders>
              <w:top w:val="nil"/>
              <w:left w:val="nil"/>
              <w:bottom w:val="nil"/>
              <w:right w:val="nil"/>
            </w:tcBorders>
            <w:noWrap/>
            <w:vAlign w:val="center"/>
            <w:hideMark/>
          </w:tcPr>
          <w:p w14:paraId="15905619"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5D43CA68"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0CB8E302"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BE9746E"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6247C59"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0C33AC0" w14:textId="77777777" w:rsidR="00A826A8" w:rsidRDefault="00A826A8">
            <w:pPr>
              <w:jc w:val="right"/>
              <w:rPr>
                <w:rFonts w:ascii="Arial" w:hAnsi="Arial" w:cs="Arial"/>
                <w:sz w:val="16"/>
                <w:szCs w:val="16"/>
              </w:rPr>
            </w:pPr>
            <w:r>
              <w:rPr>
                <w:rFonts w:ascii="Arial" w:hAnsi="Arial" w:cs="Arial"/>
                <w:sz w:val="16"/>
                <w:szCs w:val="16"/>
              </w:rPr>
              <w:t xml:space="preserve">- </w:t>
            </w:r>
          </w:p>
        </w:tc>
      </w:tr>
      <w:tr w:rsidR="00A826A8" w14:paraId="42C0A921" w14:textId="77777777" w:rsidTr="00A826A8">
        <w:trPr>
          <w:trHeight w:val="108"/>
        </w:trPr>
        <w:tc>
          <w:tcPr>
            <w:tcW w:w="4980" w:type="dxa"/>
            <w:tcBorders>
              <w:top w:val="nil"/>
              <w:left w:val="nil"/>
              <w:bottom w:val="nil"/>
              <w:right w:val="nil"/>
            </w:tcBorders>
            <w:noWrap/>
            <w:vAlign w:val="center"/>
            <w:hideMark/>
          </w:tcPr>
          <w:p w14:paraId="54256B7F" w14:textId="77777777" w:rsidR="00A826A8" w:rsidRDefault="00A826A8">
            <w:pPr>
              <w:jc w:val="right"/>
              <w:rPr>
                <w:rFonts w:ascii="Arial" w:hAnsi="Arial" w:cs="Arial"/>
                <w:sz w:val="16"/>
                <w:szCs w:val="16"/>
              </w:rPr>
            </w:pPr>
          </w:p>
        </w:tc>
        <w:tc>
          <w:tcPr>
            <w:tcW w:w="185" w:type="dxa"/>
            <w:tcBorders>
              <w:top w:val="nil"/>
              <w:left w:val="nil"/>
              <w:bottom w:val="nil"/>
              <w:right w:val="nil"/>
            </w:tcBorders>
            <w:noWrap/>
            <w:vAlign w:val="center"/>
            <w:hideMark/>
          </w:tcPr>
          <w:p w14:paraId="3A99D49C" w14:textId="77777777" w:rsidR="00A826A8" w:rsidRDefault="00A826A8">
            <w:pPr>
              <w:rPr>
                <w:sz w:val="20"/>
                <w:szCs w:val="20"/>
              </w:rPr>
            </w:pPr>
          </w:p>
        </w:tc>
        <w:tc>
          <w:tcPr>
            <w:tcW w:w="1000" w:type="dxa"/>
            <w:tcBorders>
              <w:top w:val="nil"/>
              <w:left w:val="nil"/>
              <w:bottom w:val="nil"/>
              <w:right w:val="nil"/>
            </w:tcBorders>
            <w:noWrap/>
            <w:vAlign w:val="center"/>
            <w:hideMark/>
          </w:tcPr>
          <w:p w14:paraId="3A7E269C" w14:textId="77777777" w:rsidR="00A826A8" w:rsidRDefault="00A826A8">
            <w:pPr>
              <w:rPr>
                <w:sz w:val="20"/>
                <w:szCs w:val="20"/>
              </w:rPr>
            </w:pPr>
          </w:p>
        </w:tc>
        <w:tc>
          <w:tcPr>
            <w:tcW w:w="1000" w:type="dxa"/>
            <w:tcBorders>
              <w:top w:val="nil"/>
              <w:left w:val="nil"/>
              <w:bottom w:val="nil"/>
              <w:right w:val="nil"/>
            </w:tcBorders>
            <w:noWrap/>
            <w:vAlign w:val="center"/>
            <w:hideMark/>
          </w:tcPr>
          <w:p w14:paraId="149C0285"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019659C"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295BDB7A"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3FFADF0" w14:textId="77777777" w:rsidR="00A826A8" w:rsidRDefault="00A826A8">
            <w:pPr>
              <w:jc w:val="right"/>
              <w:rPr>
                <w:sz w:val="20"/>
                <w:szCs w:val="20"/>
              </w:rPr>
            </w:pPr>
          </w:p>
        </w:tc>
      </w:tr>
      <w:tr w:rsidR="00A826A8" w14:paraId="1226182A" w14:textId="77777777" w:rsidTr="00A826A8">
        <w:trPr>
          <w:trHeight w:val="210"/>
        </w:trPr>
        <w:tc>
          <w:tcPr>
            <w:tcW w:w="4980" w:type="dxa"/>
            <w:tcBorders>
              <w:top w:val="single" w:sz="4" w:space="0" w:color="7F7F7F"/>
              <w:left w:val="nil"/>
              <w:bottom w:val="single" w:sz="4" w:space="0" w:color="7F7F7F"/>
              <w:right w:val="nil"/>
            </w:tcBorders>
            <w:shd w:val="clear" w:color="000000" w:fill="DCE6F1"/>
            <w:noWrap/>
            <w:vAlign w:val="center"/>
            <w:hideMark/>
          </w:tcPr>
          <w:p w14:paraId="742521C4" w14:textId="77777777" w:rsidR="00A826A8" w:rsidRDefault="00A826A8">
            <w:pPr>
              <w:rPr>
                <w:rFonts w:ascii="Arial" w:hAnsi="Arial" w:cs="Arial"/>
                <w:b/>
                <w:bCs/>
                <w:color w:val="000000"/>
                <w:sz w:val="16"/>
                <w:szCs w:val="16"/>
              </w:rPr>
            </w:pPr>
            <w:r>
              <w:rPr>
                <w:rFonts w:ascii="Arial" w:hAnsi="Arial" w:cs="Arial"/>
                <w:b/>
                <w:bCs/>
                <w:color w:val="000000"/>
                <w:sz w:val="16"/>
                <w:szCs w:val="16"/>
              </w:rPr>
              <w:t>(Besoin) / Surplus cumulé - Après actionnaires</w:t>
            </w:r>
          </w:p>
        </w:tc>
        <w:tc>
          <w:tcPr>
            <w:tcW w:w="185" w:type="dxa"/>
            <w:tcBorders>
              <w:top w:val="single" w:sz="4" w:space="0" w:color="7F7F7F"/>
              <w:left w:val="nil"/>
              <w:bottom w:val="single" w:sz="4" w:space="0" w:color="7F7F7F"/>
              <w:right w:val="nil"/>
            </w:tcBorders>
            <w:shd w:val="clear" w:color="000000" w:fill="DCE6F1"/>
            <w:noWrap/>
            <w:vAlign w:val="center"/>
            <w:hideMark/>
          </w:tcPr>
          <w:p w14:paraId="4F8D40AE"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DCE6F1"/>
            <w:noWrap/>
            <w:vAlign w:val="center"/>
            <w:hideMark/>
          </w:tcPr>
          <w:p w14:paraId="78F74360"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4 </w:t>
            </w:r>
          </w:p>
        </w:tc>
        <w:tc>
          <w:tcPr>
            <w:tcW w:w="1000" w:type="dxa"/>
            <w:tcBorders>
              <w:top w:val="single" w:sz="4" w:space="0" w:color="7F7F7F"/>
              <w:left w:val="nil"/>
              <w:bottom w:val="single" w:sz="4" w:space="0" w:color="7F7F7F"/>
              <w:right w:val="nil"/>
            </w:tcBorders>
            <w:shd w:val="clear" w:color="000000" w:fill="DCE6F1"/>
            <w:noWrap/>
            <w:vAlign w:val="center"/>
            <w:hideMark/>
          </w:tcPr>
          <w:p w14:paraId="40E0B6DB"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07D3C881"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62BFA14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6C9B0545"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258 </w:t>
            </w:r>
          </w:p>
        </w:tc>
      </w:tr>
      <w:tr w:rsidR="00A826A8" w14:paraId="6EFC515C" w14:textId="77777777" w:rsidTr="00A826A8">
        <w:trPr>
          <w:trHeight w:val="108"/>
        </w:trPr>
        <w:tc>
          <w:tcPr>
            <w:tcW w:w="4980" w:type="dxa"/>
            <w:tcBorders>
              <w:top w:val="nil"/>
              <w:left w:val="nil"/>
              <w:bottom w:val="nil"/>
              <w:right w:val="nil"/>
            </w:tcBorders>
            <w:noWrap/>
            <w:vAlign w:val="center"/>
            <w:hideMark/>
          </w:tcPr>
          <w:p w14:paraId="5A79AC8B"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08DD2D90" w14:textId="77777777" w:rsidR="00A826A8" w:rsidRDefault="00A826A8">
            <w:pPr>
              <w:rPr>
                <w:sz w:val="20"/>
                <w:szCs w:val="20"/>
              </w:rPr>
            </w:pPr>
          </w:p>
        </w:tc>
        <w:tc>
          <w:tcPr>
            <w:tcW w:w="1000" w:type="dxa"/>
            <w:tcBorders>
              <w:top w:val="nil"/>
              <w:left w:val="nil"/>
              <w:bottom w:val="nil"/>
              <w:right w:val="nil"/>
            </w:tcBorders>
            <w:noWrap/>
            <w:vAlign w:val="center"/>
            <w:hideMark/>
          </w:tcPr>
          <w:p w14:paraId="2829915B" w14:textId="77777777" w:rsidR="00A826A8" w:rsidRDefault="00A826A8">
            <w:pPr>
              <w:rPr>
                <w:sz w:val="20"/>
                <w:szCs w:val="20"/>
              </w:rPr>
            </w:pPr>
          </w:p>
        </w:tc>
        <w:tc>
          <w:tcPr>
            <w:tcW w:w="1000" w:type="dxa"/>
            <w:tcBorders>
              <w:top w:val="nil"/>
              <w:left w:val="nil"/>
              <w:bottom w:val="nil"/>
              <w:right w:val="nil"/>
            </w:tcBorders>
            <w:noWrap/>
            <w:vAlign w:val="center"/>
            <w:hideMark/>
          </w:tcPr>
          <w:p w14:paraId="5DBA11B2"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645B800"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7BB0A5C6"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2D48B99" w14:textId="77777777" w:rsidR="00A826A8" w:rsidRDefault="00A826A8">
            <w:pPr>
              <w:jc w:val="right"/>
              <w:rPr>
                <w:sz w:val="20"/>
                <w:szCs w:val="20"/>
              </w:rPr>
            </w:pPr>
          </w:p>
        </w:tc>
      </w:tr>
      <w:tr w:rsidR="00A826A8" w14:paraId="0AA81CB4" w14:textId="77777777" w:rsidTr="00A826A8">
        <w:trPr>
          <w:trHeight w:val="210"/>
        </w:trPr>
        <w:tc>
          <w:tcPr>
            <w:tcW w:w="4980" w:type="dxa"/>
            <w:tcBorders>
              <w:top w:val="single" w:sz="4" w:space="0" w:color="7F7F7F"/>
              <w:left w:val="nil"/>
              <w:bottom w:val="single" w:sz="4" w:space="0" w:color="7F7F7F"/>
              <w:right w:val="nil"/>
            </w:tcBorders>
            <w:shd w:val="clear" w:color="000000" w:fill="ECF2F8"/>
            <w:noWrap/>
            <w:vAlign w:val="center"/>
            <w:hideMark/>
          </w:tcPr>
          <w:p w14:paraId="60CA1C06" w14:textId="77777777" w:rsidR="00A826A8" w:rsidRDefault="00A826A8">
            <w:pPr>
              <w:rPr>
                <w:rFonts w:ascii="Arial" w:hAnsi="Arial" w:cs="Arial"/>
                <w:b/>
                <w:bCs/>
                <w:color w:val="000000"/>
                <w:sz w:val="16"/>
                <w:szCs w:val="16"/>
              </w:rPr>
            </w:pPr>
            <w:r>
              <w:rPr>
                <w:rFonts w:ascii="Arial" w:hAnsi="Arial" w:cs="Arial"/>
                <w:b/>
                <w:bCs/>
                <w:color w:val="000000"/>
                <w:sz w:val="16"/>
                <w:szCs w:val="16"/>
              </w:rPr>
              <w:t>Point bas intra-période - Après actionnaires</w:t>
            </w:r>
          </w:p>
        </w:tc>
        <w:tc>
          <w:tcPr>
            <w:tcW w:w="185" w:type="dxa"/>
            <w:tcBorders>
              <w:top w:val="single" w:sz="4" w:space="0" w:color="7F7F7F"/>
              <w:left w:val="nil"/>
              <w:bottom w:val="single" w:sz="4" w:space="0" w:color="7F7F7F"/>
              <w:right w:val="nil"/>
            </w:tcBorders>
            <w:shd w:val="clear" w:color="000000" w:fill="ECF2F8"/>
            <w:noWrap/>
            <w:vAlign w:val="center"/>
            <w:hideMark/>
          </w:tcPr>
          <w:p w14:paraId="44A1F7B5"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14A8B951"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 </w:t>
            </w:r>
          </w:p>
        </w:tc>
        <w:tc>
          <w:tcPr>
            <w:tcW w:w="1000" w:type="dxa"/>
            <w:tcBorders>
              <w:top w:val="single" w:sz="4" w:space="0" w:color="7F7F7F"/>
              <w:left w:val="nil"/>
              <w:bottom w:val="single" w:sz="4" w:space="0" w:color="7F7F7F"/>
              <w:right w:val="nil"/>
            </w:tcBorders>
            <w:shd w:val="clear" w:color="000000" w:fill="ECF2F8"/>
            <w:noWrap/>
            <w:vAlign w:val="center"/>
            <w:hideMark/>
          </w:tcPr>
          <w:p w14:paraId="27DA14BF"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7 </w:t>
            </w:r>
          </w:p>
        </w:tc>
        <w:tc>
          <w:tcPr>
            <w:tcW w:w="1000" w:type="dxa"/>
            <w:tcBorders>
              <w:top w:val="single" w:sz="4" w:space="0" w:color="7F7F7F"/>
              <w:left w:val="nil"/>
              <w:bottom w:val="single" w:sz="4" w:space="0" w:color="7F7F7F"/>
              <w:right w:val="nil"/>
            </w:tcBorders>
            <w:shd w:val="clear" w:color="000000" w:fill="ECF2F8"/>
            <w:noWrap/>
            <w:vAlign w:val="center"/>
            <w:hideMark/>
          </w:tcPr>
          <w:p w14:paraId="745A9F54"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539F3F58"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1F4DE71E"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14 </w:t>
            </w:r>
          </w:p>
        </w:tc>
      </w:tr>
      <w:tr w:rsidR="00A826A8" w14:paraId="7C4889C3" w14:textId="77777777" w:rsidTr="00A826A8">
        <w:trPr>
          <w:trHeight w:val="108"/>
        </w:trPr>
        <w:tc>
          <w:tcPr>
            <w:tcW w:w="4980" w:type="dxa"/>
            <w:tcBorders>
              <w:top w:val="nil"/>
              <w:left w:val="nil"/>
              <w:bottom w:val="nil"/>
              <w:right w:val="nil"/>
            </w:tcBorders>
            <w:noWrap/>
            <w:vAlign w:val="center"/>
            <w:hideMark/>
          </w:tcPr>
          <w:p w14:paraId="6E61DEB5"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3BA9C43C" w14:textId="77777777" w:rsidR="00A826A8" w:rsidRDefault="00A826A8">
            <w:pPr>
              <w:rPr>
                <w:sz w:val="20"/>
                <w:szCs w:val="20"/>
              </w:rPr>
            </w:pPr>
          </w:p>
        </w:tc>
        <w:tc>
          <w:tcPr>
            <w:tcW w:w="1000" w:type="dxa"/>
            <w:tcBorders>
              <w:top w:val="nil"/>
              <w:left w:val="nil"/>
              <w:bottom w:val="nil"/>
              <w:right w:val="nil"/>
            </w:tcBorders>
            <w:noWrap/>
            <w:vAlign w:val="center"/>
            <w:hideMark/>
          </w:tcPr>
          <w:p w14:paraId="7AD9FCA6" w14:textId="77777777" w:rsidR="00A826A8" w:rsidRDefault="00A826A8">
            <w:pPr>
              <w:rPr>
                <w:sz w:val="20"/>
                <w:szCs w:val="20"/>
              </w:rPr>
            </w:pPr>
          </w:p>
        </w:tc>
        <w:tc>
          <w:tcPr>
            <w:tcW w:w="1000" w:type="dxa"/>
            <w:tcBorders>
              <w:top w:val="nil"/>
              <w:left w:val="nil"/>
              <w:bottom w:val="nil"/>
              <w:right w:val="nil"/>
            </w:tcBorders>
            <w:noWrap/>
            <w:vAlign w:val="center"/>
            <w:hideMark/>
          </w:tcPr>
          <w:p w14:paraId="17BE57C1"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7C394CDE"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3D46E4F9"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63CAF5E7" w14:textId="77777777" w:rsidR="00A826A8" w:rsidRDefault="00A826A8">
            <w:pPr>
              <w:jc w:val="right"/>
              <w:rPr>
                <w:sz w:val="20"/>
                <w:szCs w:val="20"/>
              </w:rPr>
            </w:pPr>
          </w:p>
        </w:tc>
      </w:tr>
      <w:tr w:rsidR="00A826A8" w14:paraId="4FB53AE5" w14:textId="77777777" w:rsidTr="00A826A8">
        <w:trPr>
          <w:trHeight w:val="200"/>
        </w:trPr>
        <w:tc>
          <w:tcPr>
            <w:tcW w:w="4980" w:type="dxa"/>
            <w:tcBorders>
              <w:top w:val="nil"/>
              <w:left w:val="nil"/>
              <w:bottom w:val="nil"/>
              <w:right w:val="nil"/>
            </w:tcBorders>
            <w:noWrap/>
            <w:vAlign w:val="center"/>
            <w:hideMark/>
          </w:tcPr>
          <w:p w14:paraId="05D9FECC" w14:textId="77777777" w:rsidR="00A826A8" w:rsidRDefault="00A826A8">
            <w:pPr>
              <w:rPr>
                <w:rFonts w:ascii="Arial" w:hAnsi="Arial" w:cs="Arial"/>
                <w:sz w:val="16"/>
                <w:szCs w:val="16"/>
              </w:rPr>
            </w:pPr>
            <w:r>
              <w:rPr>
                <w:rFonts w:ascii="Arial" w:hAnsi="Arial" w:cs="Arial"/>
                <w:sz w:val="16"/>
                <w:szCs w:val="16"/>
              </w:rPr>
              <w:t>Impact cash-</w:t>
            </w:r>
            <w:proofErr w:type="spellStart"/>
            <w:r>
              <w:rPr>
                <w:rFonts w:ascii="Arial" w:hAnsi="Arial" w:cs="Arial"/>
                <w:sz w:val="16"/>
                <w:szCs w:val="16"/>
              </w:rPr>
              <w:t>pooling</w:t>
            </w:r>
            <w:proofErr w:type="spellEnd"/>
          </w:p>
        </w:tc>
        <w:tc>
          <w:tcPr>
            <w:tcW w:w="185" w:type="dxa"/>
            <w:tcBorders>
              <w:top w:val="nil"/>
              <w:left w:val="nil"/>
              <w:bottom w:val="nil"/>
              <w:right w:val="nil"/>
            </w:tcBorders>
            <w:noWrap/>
            <w:vAlign w:val="center"/>
            <w:hideMark/>
          </w:tcPr>
          <w:p w14:paraId="17107C74" w14:textId="77777777" w:rsidR="00A826A8" w:rsidRDefault="00A826A8">
            <w:pPr>
              <w:rPr>
                <w:rFonts w:ascii="Arial" w:hAnsi="Arial" w:cs="Arial"/>
                <w:sz w:val="16"/>
                <w:szCs w:val="16"/>
              </w:rPr>
            </w:pPr>
          </w:p>
        </w:tc>
        <w:tc>
          <w:tcPr>
            <w:tcW w:w="1000" w:type="dxa"/>
            <w:tcBorders>
              <w:top w:val="nil"/>
              <w:left w:val="nil"/>
              <w:bottom w:val="nil"/>
              <w:right w:val="nil"/>
            </w:tcBorders>
            <w:noWrap/>
            <w:vAlign w:val="center"/>
            <w:hideMark/>
          </w:tcPr>
          <w:p w14:paraId="6E832549"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83A55BC"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30F7DCA6"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FD88D7E" w14:textId="77777777" w:rsidR="00A826A8" w:rsidRDefault="00A826A8">
            <w:pPr>
              <w:jc w:val="right"/>
              <w:rPr>
                <w:rFonts w:ascii="Arial" w:hAnsi="Arial" w:cs="Arial"/>
                <w:sz w:val="16"/>
                <w:szCs w:val="16"/>
              </w:rPr>
            </w:pPr>
            <w:r>
              <w:rPr>
                <w:rFonts w:ascii="Arial" w:hAnsi="Arial" w:cs="Arial"/>
                <w:sz w:val="16"/>
                <w:szCs w:val="16"/>
              </w:rPr>
              <w:t xml:space="preserve">- </w:t>
            </w:r>
          </w:p>
        </w:tc>
        <w:tc>
          <w:tcPr>
            <w:tcW w:w="1000" w:type="dxa"/>
            <w:tcBorders>
              <w:top w:val="nil"/>
              <w:left w:val="nil"/>
              <w:bottom w:val="nil"/>
              <w:right w:val="nil"/>
            </w:tcBorders>
            <w:noWrap/>
            <w:vAlign w:val="center"/>
            <w:hideMark/>
          </w:tcPr>
          <w:p w14:paraId="21B8F5AA" w14:textId="77777777" w:rsidR="00A826A8" w:rsidRDefault="00A826A8">
            <w:pPr>
              <w:jc w:val="right"/>
              <w:rPr>
                <w:rFonts w:ascii="Arial" w:hAnsi="Arial" w:cs="Arial"/>
                <w:sz w:val="16"/>
                <w:szCs w:val="16"/>
              </w:rPr>
            </w:pPr>
            <w:r>
              <w:rPr>
                <w:rFonts w:ascii="Arial" w:hAnsi="Arial" w:cs="Arial"/>
                <w:sz w:val="16"/>
                <w:szCs w:val="16"/>
              </w:rPr>
              <w:t>(238)</w:t>
            </w:r>
          </w:p>
        </w:tc>
      </w:tr>
      <w:tr w:rsidR="00A826A8" w14:paraId="59421BB2" w14:textId="77777777" w:rsidTr="00A826A8">
        <w:trPr>
          <w:trHeight w:val="108"/>
        </w:trPr>
        <w:tc>
          <w:tcPr>
            <w:tcW w:w="4980" w:type="dxa"/>
            <w:tcBorders>
              <w:top w:val="nil"/>
              <w:left w:val="nil"/>
              <w:bottom w:val="single" w:sz="4" w:space="0" w:color="7F7F7F"/>
              <w:right w:val="nil"/>
            </w:tcBorders>
            <w:noWrap/>
            <w:vAlign w:val="center"/>
            <w:hideMark/>
          </w:tcPr>
          <w:p w14:paraId="76A14F9C" w14:textId="77777777" w:rsidR="00A826A8" w:rsidRDefault="00A826A8">
            <w:pPr>
              <w:rPr>
                <w:rFonts w:ascii="Arial" w:hAnsi="Arial" w:cs="Arial"/>
                <w:b/>
                <w:bCs/>
                <w:color w:val="000000"/>
                <w:sz w:val="16"/>
                <w:szCs w:val="16"/>
              </w:rPr>
            </w:pPr>
            <w:r>
              <w:rPr>
                <w:rFonts w:ascii="Arial" w:hAnsi="Arial" w:cs="Arial"/>
                <w:b/>
                <w:bCs/>
                <w:color w:val="000000"/>
                <w:sz w:val="16"/>
                <w:szCs w:val="16"/>
              </w:rPr>
              <w:t> </w:t>
            </w:r>
          </w:p>
        </w:tc>
        <w:tc>
          <w:tcPr>
            <w:tcW w:w="185" w:type="dxa"/>
            <w:tcBorders>
              <w:top w:val="nil"/>
              <w:left w:val="nil"/>
              <w:bottom w:val="nil"/>
              <w:right w:val="nil"/>
            </w:tcBorders>
            <w:noWrap/>
            <w:vAlign w:val="center"/>
            <w:hideMark/>
          </w:tcPr>
          <w:p w14:paraId="25780D82" w14:textId="77777777" w:rsidR="00A826A8" w:rsidRDefault="00A826A8">
            <w:pPr>
              <w:rPr>
                <w:rFonts w:ascii="Arial" w:hAnsi="Arial" w:cs="Arial"/>
                <w:b/>
                <w:bCs/>
                <w:color w:val="000000"/>
                <w:sz w:val="16"/>
                <w:szCs w:val="16"/>
              </w:rPr>
            </w:pPr>
          </w:p>
        </w:tc>
        <w:tc>
          <w:tcPr>
            <w:tcW w:w="1000" w:type="dxa"/>
            <w:tcBorders>
              <w:top w:val="nil"/>
              <w:left w:val="nil"/>
              <w:bottom w:val="nil"/>
              <w:right w:val="nil"/>
            </w:tcBorders>
            <w:noWrap/>
            <w:vAlign w:val="center"/>
            <w:hideMark/>
          </w:tcPr>
          <w:p w14:paraId="09AAF531" w14:textId="77777777" w:rsidR="00A826A8" w:rsidRDefault="00A826A8">
            <w:pPr>
              <w:rPr>
                <w:sz w:val="20"/>
                <w:szCs w:val="20"/>
              </w:rPr>
            </w:pPr>
          </w:p>
        </w:tc>
        <w:tc>
          <w:tcPr>
            <w:tcW w:w="1000" w:type="dxa"/>
            <w:tcBorders>
              <w:top w:val="nil"/>
              <w:left w:val="nil"/>
              <w:bottom w:val="nil"/>
              <w:right w:val="nil"/>
            </w:tcBorders>
            <w:noWrap/>
            <w:vAlign w:val="center"/>
            <w:hideMark/>
          </w:tcPr>
          <w:p w14:paraId="7E8D1EC8"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06E2D186"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468CC6B0"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21AF32F1" w14:textId="77777777" w:rsidR="00A826A8" w:rsidRDefault="00A826A8">
            <w:pPr>
              <w:jc w:val="right"/>
              <w:rPr>
                <w:sz w:val="20"/>
                <w:szCs w:val="20"/>
              </w:rPr>
            </w:pPr>
          </w:p>
        </w:tc>
      </w:tr>
      <w:tr w:rsidR="00A826A8" w14:paraId="5C4A3BE2" w14:textId="77777777" w:rsidTr="00A826A8">
        <w:trPr>
          <w:trHeight w:val="210"/>
        </w:trPr>
        <w:tc>
          <w:tcPr>
            <w:tcW w:w="4980" w:type="dxa"/>
            <w:tcBorders>
              <w:top w:val="nil"/>
              <w:left w:val="nil"/>
              <w:bottom w:val="single" w:sz="4" w:space="0" w:color="7F7F7F"/>
              <w:right w:val="nil"/>
            </w:tcBorders>
            <w:shd w:val="clear" w:color="000000" w:fill="DCE6F1"/>
            <w:noWrap/>
            <w:vAlign w:val="center"/>
            <w:hideMark/>
          </w:tcPr>
          <w:p w14:paraId="582D54D4" w14:textId="77777777" w:rsidR="00A826A8" w:rsidRDefault="00A826A8">
            <w:pPr>
              <w:rPr>
                <w:rFonts w:ascii="Arial" w:hAnsi="Arial" w:cs="Arial"/>
                <w:b/>
                <w:bCs/>
                <w:color w:val="000000"/>
                <w:sz w:val="16"/>
                <w:szCs w:val="16"/>
              </w:rPr>
            </w:pPr>
            <w:r>
              <w:rPr>
                <w:rFonts w:ascii="Arial" w:hAnsi="Arial" w:cs="Arial"/>
                <w:b/>
                <w:bCs/>
                <w:color w:val="000000"/>
                <w:sz w:val="16"/>
                <w:szCs w:val="16"/>
              </w:rPr>
              <w:t xml:space="preserve">(Besoin) / Surplus cumulé - Après </w:t>
            </w:r>
            <w:proofErr w:type="spellStart"/>
            <w:r>
              <w:rPr>
                <w:rFonts w:ascii="Arial" w:hAnsi="Arial" w:cs="Arial"/>
                <w:b/>
                <w:bCs/>
                <w:color w:val="000000"/>
                <w:sz w:val="16"/>
                <w:szCs w:val="16"/>
              </w:rPr>
              <w:t>act</w:t>
            </w:r>
            <w:proofErr w:type="spellEnd"/>
            <w:r>
              <w:rPr>
                <w:rFonts w:ascii="Arial" w:hAnsi="Arial" w:cs="Arial"/>
                <w:b/>
                <w:bCs/>
                <w:color w:val="000000"/>
                <w:sz w:val="16"/>
                <w:szCs w:val="16"/>
              </w:rPr>
              <w:t>. &amp; cash-</w:t>
            </w:r>
            <w:proofErr w:type="spellStart"/>
            <w:r>
              <w:rPr>
                <w:rFonts w:ascii="Arial" w:hAnsi="Arial" w:cs="Arial"/>
                <w:b/>
                <w:bCs/>
                <w:color w:val="000000"/>
                <w:sz w:val="16"/>
                <w:szCs w:val="16"/>
              </w:rPr>
              <w:t>pooling</w:t>
            </w:r>
            <w:proofErr w:type="spellEnd"/>
          </w:p>
        </w:tc>
        <w:tc>
          <w:tcPr>
            <w:tcW w:w="185" w:type="dxa"/>
            <w:tcBorders>
              <w:top w:val="single" w:sz="4" w:space="0" w:color="7F7F7F"/>
              <w:left w:val="nil"/>
              <w:bottom w:val="single" w:sz="4" w:space="0" w:color="7F7F7F"/>
              <w:right w:val="nil"/>
            </w:tcBorders>
            <w:shd w:val="clear" w:color="000000" w:fill="DCE6F1"/>
            <w:noWrap/>
            <w:vAlign w:val="center"/>
            <w:hideMark/>
          </w:tcPr>
          <w:p w14:paraId="5E1C28B3"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DCE6F1"/>
            <w:noWrap/>
            <w:vAlign w:val="center"/>
            <w:hideMark/>
          </w:tcPr>
          <w:p w14:paraId="79523324"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4 </w:t>
            </w:r>
          </w:p>
        </w:tc>
        <w:tc>
          <w:tcPr>
            <w:tcW w:w="1000" w:type="dxa"/>
            <w:tcBorders>
              <w:top w:val="single" w:sz="4" w:space="0" w:color="7F7F7F"/>
              <w:left w:val="nil"/>
              <w:bottom w:val="single" w:sz="4" w:space="0" w:color="7F7F7F"/>
              <w:right w:val="nil"/>
            </w:tcBorders>
            <w:shd w:val="clear" w:color="000000" w:fill="DCE6F1"/>
            <w:noWrap/>
            <w:vAlign w:val="center"/>
            <w:hideMark/>
          </w:tcPr>
          <w:p w14:paraId="6180DD4B"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27B671C5"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1D375F25"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DCE6F1"/>
            <w:noWrap/>
            <w:vAlign w:val="center"/>
            <w:hideMark/>
          </w:tcPr>
          <w:p w14:paraId="7049DA5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20 </w:t>
            </w:r>
          </w:p>
        </w:tc>
      </w:tr>
      <w:tr w:rsidR="00A826A8" w14:paraId="0F84EF69" w14:textId="77777777" w:rsidTr="00A826A8">
        <w:trPr>
          <w:trHeight w:val="108"/>
        </w:trPr>
        <w:tc>
          <w:tcPr>
            <w:tcW w:w="4980" w:type="dxa"/>
            <w:tcBorders>
              <w:top w:val="nil"/>
              <w:left w:val="nil"/>
              <w:bottom w:val="nil"/>
              <w:right w:val="nil"/>
            </w:tcBorders>
            <w:noWrap/>
            <w:vAlign w:val="center"/>
            <w:hideMark/>
          </w:tcPr>
          <w:p w14:paraId="26E825BE" w14:textId="77777777" w:rsidR="00A826A8" w:rsidRDefault="00A826A8">
            <w:pPr>
              <w:jc w:val="right"/>
              <w:rPr>
                <w:rFonts w:ascii="Arial" w:hAnsi="Arial" w:cs="Arial"/>
                <w:b/>
                <w:bCs/>
                <w:color w:val="000000"/>
                <w:sz w:val="16"/>
                <w:szCs w:val="16"/>
              </w:rPr>
            </w:pPr>
          </w:p>
        </w:tc>
        <w:tc>
          <w:tcPr>
            <w:tcW w:w="185" w:type="dxa"/>
            <w:tcBorders>
              <w:top w:val="nil"/>
              <w:left w:val="nil"/>
              <w:bottom w:val="nil"/>
              <w:right w:val="nil"/>
            </w:tcBorders>
            <w:noWrap/>
            <w:vAlign w:val="center"/>
            <w:hideMark/>
          </w:tcPr>
          <w:p w14:paraId="32FCBF4B" w14:textId="77777777" w:rsidR="00A826A8" w:rsidRDefault="00A826A8">
            <w:pPr>
              <w:rPr>
                <w:sz w:val="20"/>
                <w:szCs w:val="20"/>
              </w:rPr>
            </w:pPr>
          </w:p>
        </w:tc>
        <w:tc>
          <w:tcPr>
            <w:tcW w:w="1000" w:type="dxa"/>
            <w:tcBorders>
              <w:top w:val="nil"/>
              <w:left w:val="nil"/>
              <w:bottom w:val="nil"/>
              <w:right w:val="nil"/>
            </w:tcBorders>
            <w:noWrap/>
            <w:vAlign w:val="center"/>
            <w:hideMark/>
          </w:tcPr>
          <w:p w14:paraId="25436ED9" w14:textId="77777777" w:rsidR="00A826A8" w:rsidRDefault="00A826A8">
            <w:pPr>
              <w:rPr>
                <w:sz w:val="20"/>
                <w:szCs w:val="20"/>
              </w:rPr>
            </w:pPr>
          </w:p>
        </w:tc>
        <w:tc>
          <w:tcPr>
            <w:tcW w:w="1000" w:type="dxa"/>
            <w:tcBorders>
              <w:top w:val="nil"/>
              <w:left w:val="nil"/>
              <w:bottom w:val="nil"/>
              <w:right w:val="nil"/>
            </w:tcBorders>
            <w:noWrap/>
            <w:vAlign w:val="center"/>
            <w:hideMark/>
          </w:tcPr>
          <w:p w14:paraId="27004311"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50199A8C"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014ACF9E" w14:textId="77777777" w:rsidR="00A826A8" w:rsidRDefault="00A826A8">
            <w:pPr>
              <w:jc w:val="right"/>
              <w:rPr>
                <w:sz w:val="20"/>
                <w:szCs w:val="20"/>
              </w:rPr>
            </w:pPr>
          </w:p>
        </w:tc>
        <w:tc>
          <w:tcPr>
            <w:tcW w:w="1000" w:type="dxa"/>
            <w:tcBorders>
              <w:top w:val="nil"/>
              <w:left w:val="nil"/>
              <w:bottom w:val="nil"/>
              <w:right w:val="nil"/>
            </w:tcBorders>
            <w:noWrap/>
            <w:vAlign w:val="center"/>
            <w:hideMark/>
          </w:tcPr>
          <w:p w14:paraId="2E0BA350" w14:textId="77777777" w:rsidR="00A826A8" w:rsidRDefault="00A826A8">
            <w:pPr>
              <w:jc w:val="right"/>
              <w:rPr>
                <w:sz w:val="20"/>
                <w:szCs w:val="20"/>
              </w:rPr>
            </w:pPr>
          </w:p>
        </w:tc>
      </w:tr>
      <w:tr w:rsidR="00A826A8" w14:paraId="6D2A6422" w14:textId="77777777" w:rsidTr="00A826A8">
        <w:trPr>
          <w:trHeight w:val="210"/>
        </w:trPr>
        <w:tc>
          <w:tcPr>
            <w:tcW w:w="4980" w:type="dxa"/>
            <w:tcBorders>
              <w:top w:val="single" w:sz="4" w:space="0" w:color="7F7F7F"/>
              <w:left w:val="nil"/>
              <w:bottom w:val="single" w:sz="4" w:space="0" w:color="7F7F7F"/>
              <w:right w:val="nil"/>
            </w:tcBorders>
            <w:shd w:val="clear" w:color="000000" w:fill="ECF2F8"/>
            <w:noWrap/>
            <w:vAlign w:val="center"/>
            <w:hideMark/>
          </w:tcPr>
          <w:p w14:paraId="79E148B9" w14:textId="77777777" w:rsidR="00A826A8" w:rsidRDefault="00A826A8">
            <w:pPr>
              <w:rPr>
                <w:rFonts w:ascii="Arial" w:hAnsi="Arial" w:cs="Arial"/>
                <w:b/>
                <w:bCs/>
                <w:color w:val="000000"/>
                <w:sz w:val="16"/>
                <w:szCs w:val="16"/>
              </w:rPr>
            </w:pPr>
            <w:r>
              <w:rPr>
                <w:rFonts w:ascii="Arial" w:hAnsi="Arial" w:cs="Arial"/>
                <w:b/>
                <w:bCs/>
                <w:color w:val="000000"/>
                <w:sz w:val="16"/>
                <w:szCs w:val="16"/>
              </w:rPr>
              <w:t xml:space="preserve">Point bas intra-période - Après </w:t>
            </w:r>
            <w:proofErr w:type="spellStart"/>
            <w:r>
              <w:rPr>
                <w:rFonts w:ascii="Arial" w:hAnsi="Arial" w:cs="Arial"/>
                <w:b/>
                <w:bCs/>
                <w:color w:val="000000"/>
                <w:sz w:val="16"/>
                <w:szCs w:val="16"/>
              </w:rPr>
              <w:t>act</w:t>
            </w:r>
            <w:proofErr w:type="spellEnd"/>
            <w:r>
              <w:rPr>
                <w:rFonts w:ascii="Arial" w:hAnsi="Arial" w:cs="Arial"/>
                <w:b/>
                <w:bCs/>
                <w:color w:val="000000"/>
                <w:sz w:val="16"/>
                <w:szCs w:val="16"/>
              </w:rPr>
              <w:t>. &amp; cash-</w:t>
            </w:r>
            <w:proofErr w:type="spellStart"/>
            <w:r>
              <w:rPr>
                <w:rFonts w:ascii="Arial" w:hAnsi="Arial" w:cs="Arial"/>
                <w:b/>
                <w:bCs/>
                <w:color w:val="000000"/>
                <w:sz w:val="16"/>
                <w:szCs w:val="16"/>
              </w:rPr>
              <w:t>pooling</w:t>
            </w:r>
            <w:proofErr w:type="spellEnd"/>
          </w:p>
        </w:tc>
        <w:tc>
          <w:tcPr>
            <w:tcW w:w="185" w:type="dxa"/>
            <w:tcBorders>
              <w:top w:val="single" w:sz="4" w:space="0" w:color="7F7F7F"/>
              <w:left w:val="nil"/>
              <w:bottom w:val="single" w:sz="4" w:space="0" w:color="7F7F7F"/>
              <w:right w:val="nil"/>
            </w:tcBorders>
            <w:shd w:val="clear" w:color="000000" w:fill="ECF2F8"/>
            <w:noWrap/>
            <w:vAlign w:val="center"/>
            <w:hideMark/>
          </w:tcPr>
          <w:p w14:paraId="52AFE4E5"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w:t>
            </w:r>
          </w:p>
        </w:tc>
        <w:tc>
          <w:tcPr>
            <w:tcW w:w="1000" w:type="dxa"/>
            <w:tcBorders>
              <w:top w:val="single" w:sz="4" w:space="0" w:color="7F7F7F"/>
              <w:left w:val="nil"/>
              <w:bottom w:val="single" w:sz="4" w:space="0" w:color="7F7F7F"/>
              <w:right w:val="nil"/>
            </w:tcBorders>
            <w:shd w:val="clear" w:color="000000" w:fill="ECF2F8"/>
            <w:noWrap/>
            <w:vAlign w:val="center"/>
            <w:hideMark/>
          </w:tcPr>
          <w:p w14:paraId="40ECF4D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 </w:t>
            </w:r>
          </w:p>
        </w:tc>
        <w:tc>
          <w:tcPr>
            <w:tcW w:w="1000" w:type="dxa"/>
            <w:tcBorders>
              <w:top w:val="single" w:sz="4" w:space="0" w:color="7F7F7F"/>
              <w:left w:val="nil"/>
              <w:bottom w:val="single" w:sz="4" w:space="0" w:color="7F7F7F"/>
              <w:right w:val="nil"/>
            </w:tcBorders>
            <w:shd w:val="clear" w:color="000000" w:fill="ECF2F8"/>
            <w:noWrap/>
            <w:vAlign w:val="center"/>
            <w:hideMark/>
          </w:tcPr>
          <w:p w14:paraId="5D79B92A"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7 </w:t>
            </w:r>
          </w:p>
        </w:tc>
        <w:tc>
          <w:tcPr>
            <w:tcW w:w="1000" w:type="dxa"/>
            <w:tcBorders>
              <w:top w:val="single" w:sz="4" w:space="0" w:color="7F7F7F"/>
              <w:left w:val="nil"/>
              <w:bottom w:val="single" w:sz="4" w:space="0" w:color="7F7F7F"/>
              <w:right w:val="nil"/>
            </w:tcBorders>
            <w:shd w:val="clear" w:color="000000" w:fill="ECF2F8"/>
            <w:noWrap/>
            <w:vAlign w:val="center"/>
            <w:hideMark/>
          </w:tcPr>
          <w:p w14:paraId="21C17107"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1519DB2F"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11 </w:t>
            </w:r>
          </w:p>
        </w:tc>
        <w:tc>
          <w:tcPr>
            <w:tcW w:w="1000" w:type="dxa"/>
            <w:tcBorders>
              <w:top w:val="single" w:sz="4" w:space="0" w:color="7F7F7F"/>
              <w:left w:val="nil"/>
              <w:bottom w:val="single" w:sz="4" w:space="0" w:color="7F7F7F"/>
              <w:right w:val="nil"/>
            </w:tcBorders>
            <w:shd w:val="clear" w:color="000000" w:fill="ECF2F8"/>
            <w:noWrap/>
            <w:vAlign w:val="center"/>
            <w:hideMark/>
          </w:tcPr>
          <w:p w14:paraId="1BFA520C" w14:textId="77777777" w:rsidR="00A826A8" w:rsidRDefault="00A826A8">
            <w:pPr>
              <w:jc w:val="right"/>
              <w:rPr>
                <w:rFonts w:ascii="Arial" w:hAnsi="Arial" w:cs="Arial"/>
                <w:b/>
                <w:bCs/>
                <w:color w:val="000000"/>
                <w:sz w:val="16"/>
                <w:szCs w:val="16"/>
              </w:rPr>
            </w:pPr>
            <w:r>
              <w:rPr>
                <w:rFonts w:ascii="Arial" w:hAnsi="Arial" w:cs="Arial"/>
                <w:b/>
                <w:bCs/>
                <w:color w:val="000000"/>
                <w:sz w:val="16"/>
                <w:szCs w:val="16"/>
              </w:rPr>
              <w:t xml:space="preserve">14 </w:t>
            </w:r>
          </w:p>
        </w:tc>
      </w:tr>
    </w:tbl>
    <w:p w14:paraId="05D1D145" w14:textId="77777777" w:rsidR="00BE2436" w:rsidRDefault="00BE2436"/>
    <w:p w14:paraId="26E4FBEA" w14:textId="77777777" w:rsidR="00BE2436" w:rsidRPr="002C1C43" w:rsidRDefault="00BE2436" w:rsidP="00BE2436">
      <w:pPr>
        <w:keepNext/>
        <w:spacing w:line="259" w:lineRule="auto"/>
        <w:jc w:val="center"/>
        <w:rPr>
          <w:rFonts w:ascii="Calibri" w:hAnsi="Calibri" w:cs="Calibri"/>
          <w:bCs/>
          <w:i/>
          <w:iCs/>
          <w:sz w:val="20"/>
          <w:szCs w:val="20"/>
        </w:rPr>
      </w:pPr>
      <w:r w:rsidRPr="00DA3DC3">
        <w:rPr>
          <w:rFonts w:ascii="Calibri" w:hAnsi="Calibri" w:cs="Calibri"/>
          <w:bCs/>
          <w:i/>
          <w:iCs/>
          <w:sz w:val="20"/>
          <w:szCs w:val="20"/>
        </w:rPr>
        <w:t xml:space="preserve">Extrait rapport </w:t>
      </w:r>
      <w:proofErr w:type="spellStart"/>
      <w:r w:rsidRPr="00DA3DC3">
        <w:rPr>
          <w:rFonts w:ascii="Calibri" w:hAnsi="Calibri" w:cs="Calibri"/>
          <w:bCs/>
          <w:i/>
          <w:iCs/>
          <w:sz w:val="20"/>
          <w:szCs w:val="20"/>
        </w:rPr>
        <w:t>Accuracy</w:t>
      </w:r>
      <w:proofErr w:type="spellEnd"/>
      <w:r w:rsidRPr="00DA3DC3">
        <w:rPr>
          <w:rFonts w:ascii="Calibri" w:hAnsi="Calibri" w:cs="Calibri"/>
          <w:bCs/>
          <w:i/>
          <w:iCs/>
          <w:sz w:val="20"/>
          <w:szCs w:val="20"/>
        </w:rPr>
        <w:t xml:space="preserve"> en date du 12 février 2026</w:t>
      </w:r>
    </w:p>
    <w:p w14:paraId="410A3D86" w14:textId="77777777" w:rsidR="00BC72A9" w:rsidRDefault="00BC72A9" w:rsidP="00684A4F">
      <w:pPr>
        <w:jc w:val="center"/>
        <w:rPr>
          <w:rFonts w:ascii="Calibri" w:hAnsi="Calibri" w:cs="Calibri"/>
          <w:sz w:val="22"/>
          <w:szCs w:val="22"/>
          <w:highlight w:val="yellow"/>
        </w:rPr>
      </w:pPr>
    </w:p>
    <w:p w14:paraId="05B90E23" w14:textId="3CAC469F" w:rsidR="004F36D5" w:rsidRPr="00C939BD" w:rsidRDefault="00C7583F" w:rsidP="00C939BD">
      <w:pPr>
        <w:numPr>
          <w:ilvl w:val="12"/>
          <w:numId w:val="0"/>
        </w:numPr>
        <w:jc w:val="both"/>
        <w:rPr>
          <w:rFonts w:ascii="Calibri" w:hAnsi="Calibri" w:cs="Calibri"/>
          <w:b/>
          <w:bCs/>
          <w:sz w:val="22"/>
          <w:szCs w:val="22"/>
        </w:rPr>
      </w:pPr>
      <w:r w:rsidRPr="009D2EA3">
        <w:rPr>
          <w:rFonts w:ascii="Calibri" w:hAnsi="Calibri" w:cs="Calibri"/>
          <w:b/>
          <w:bCs/>
          <w:sz w:val="22"/>
          <w:szCs w:val="22"/>
        </w:rPr>
        <w:t>La prévision de trésorerie</w:t>
      </w:r>
      <w:r>
        <w:rPr>
          <w:rFonts w:ascii="Calibri" w:hAnsi="Calibri" w:cs="Calibri"/>
          <w:b/>
          <w:bCs/>
          <w:sz w:val="22"/>
          <w:szCs w:val="22"/>
        </w:rPr>
        <w:t>, modélisant le remboursement des échéances du plan,</w:t>
      </w:r>
      <w:r w:rsidRPr="009D2EA3">
        <w:rPr>
          <w:rFonts w:ascii="Calibri" w:hAnsi="Calibri" w:cs="Calibri"/>
          <w:b/>
          <w:bCs/>
          <w:sz w:val="22"/>
          <w:szCs w:val="22"/>
        </w:rPr>
        <w:t xml:space="preserve"> ne fait apparaitre aucune impasse sur sa durée</w:t>
      </w:r>
      <w:r w:rsidR="004F36D5" w:rsidRPr="00C939BD">
        <w:rPr>
          <w:rFonts w:ascii="Calibri" w:hAnsi="Calibri" w:cs="Calibri"/>
          <w:b/>
          <w:bCs/>
          <w:sz w:val="22"/>
          <w:szCs w:val="22"/>
        </w:rPr>
        <w:t xml:space="preserve"> en tenant </w:t>
      </w:r>
      <w:r w:rsidR="00F8178F" w:rsidRPr="00C939BD">
        <w:rPr>
          <w:rFonts w:ascii="Calibri" w:hAnsi="Calibri" w:cs="Calibri"/>
          <w:b/>
          <w:bCs/>
          <w:sz w:val="22"/>
          <w:szCs w:val="22"/>
        </w:rPr>
        <w:t>compte d</w:t>
      </w:r>
      <w:r w:rsidR="00C939BD" w:rsidRPr="00C939BD">
        <w:rPr>
          <w:rFonts w:ascii="Calibri" w:hAnsi="Calibri" w:cs="Calibri"/>
          <w:b/>
          <w:bCs/>
          <w:sz w:val="22"/>
          <w:szCs w:val="22"/>
        </w:rPr>
        <w:t>e l’</w:t>
      </w:r>
      <w:r w:rsidR="007A5BEF" w:rsidRPr="00C939BD">
        <w:rPr>
          <w:rFonts w:ascii="Calibri" w:hAnsi="Calibri" w:cs="Calibri"/>
          <w:b/>
          <w:bCs/>
          <w:sz w:val="22"/>
          <w:szCs w:val="22"/>
        </w:rPr>
        <w:t xml:space="preserve">obtention d’un refinancement </w:t>
      </w:r>
      <w:r w:rsidR="00227B8F" w:rsidRPr="00C939BD">
        <w:rPr>
          <w:rFonts w:ascii="Calibri" w:hAnsi="Calibri" w:cs="Calibri"/>
          <w:b/>
          <w:bCs/>
          <w:sz w:val="22"/>
          <w:szCs w:val="22"/>
        </w:rPr>
        <w:t xml:space="preserve">d’un montant de </w:t>
      </w:r>
      <w:r w:rsidR="00C939BD" w:rsidRPr="00C939BD">
        <w:rPr>
          <w:rFonts w:ascii="Calibri" w:hAnsi="Calibri" w:cs="Calibri"/>
          <w:b/>
          <w:bCs/>
          <w:sz w:val="22"/>
          <w:szCs w:val="22"/>
        </w:rPr>
        <w:t>406</w:t>
      </w:r>
      <w:r w:rsidR="00227B8F" w:rsidRPr="00C939BD">
        <w:rPr>
          <w:rFonts w:ascii="Calibri" w:hAnsi="Calibri" w:cs="Calibri"/>
          <w:b/>
          <w:bCs/>
          <w:sz w:val="22"/>
          <w:szCs w:val="22"/>
        </w:rPr>
        <w:t>k€</w:t>
      </w:r>
      <w:r w:rsidR="00044FBE" w:rsidRPr="00C939BD">
        <w:rPr>
          <w:rFonts w:ascii="Calibri" w:hAnsi="Calibri" w:cs="Calibri"/>
          <w:b/>
          <w:bCs/>
          <w:sz w:val="22"/>
          <w:szCs w:val="22"/>
        </w:rPr>
        <w:t xml:space="preserve"> avec un LTV de </w:t>
      </w:r>
      <w:r w:rsidR="00A07CB6">
        <w:rPr>
          <w:rFonts w:ascii="Calibri" w:hAnsi="Calibri" w:cs="Calibri"/>
          <w:b/>
          <w:bCs/>
          <w:sz w:val="22"/>
          <w:szCs w:val="22"/>
        </w:rPr>
        <w:t>7</w:t>
      </w:r>
      <w:r w:rsidR="00044FBE" w:rsidRPr="00C939BD">
        <w:rPr>
          <w:rFonts w:ascii="Calibri" w:hAnsi="Calibri" w:cs="Calibri"/>
          <w:b/>
          <w:bCs/>
          <w:sz w:val="22"/>
          <w:szCs w:val="22"/>
        </w:rPr>
        <w:t>0%</w:t>
      </w:r>
      <w:r w:rsidR="00081D90" w:rsidRPr="00C939BD">
        <w:rPr>
          <w:rFonts w:ascii="Calibri" w:hAnsi="Calibri" w:cs="Calibri"/>
          <w:b/>
          <w:bCs/>
          <w:sz w:val="22"/>
          <w:szCs w:val="22"/>
        </w:rPr>
        <w:t xml:space="preserve">. </w:t>
      </w:r>
    </w:p>
    <w:p w14:paraId="612E7B91" w14:textId="6CC93630" w:rsidR="00FD2349" w:rsidRDefault="004F36D5" w:rsidP="000E3411">
      <w:pPr>
        <w:spacing w:before="120"/>
        <w:jc w:val="both"/>
        <w:rPr>
          <w:rFonts w:ascii="Calibri" w:hAnsi="Calibri" w:cs="Calibri"/>
          <w:sz w:val="22"/>
          <w:szCs w:val="22"/>
        </w:rPr>
      </w:pPr>
      <w:r>
        <w:rPr>
          <w:rFonts w:ascii="Calibri" w:hAnsi="Calibri" w:cs="Calibri"/>
          <w:sz w:val="22"/>
          <w:szCs w:val="22"/>
        </w:rPr>
        <w:t xml:space="preserve">Sous </w:t>
      </w:r>
      <w:r w:rsidR="00F32423">
        <w:rPr>
          <w:rFonts w:ascii="Calibri" w:hAnsi="Calibri" w:cs="Calibri"/>
          <w:sz w:val="22"/>
          <w:szCs w:val="22"/>
        </w:rPr>
        <w:t>cette réserve</w:t>
      </w:r>
      <w:r>
        <w:rPr>
          <w:rFonts w:ascii="Calibri" w:hAnsi="Calibri" w:cs="Calibri"/>
          <w:sz w:val="22"/>
          <w:szCs w:val="22"/>
        </w:rPr>
        <w:t xml:space="preserve">, </w:t>
      </w:r>
      <w:r w:rsidR="00753E48" w:rsidRPr="000E3411">
        <w:rPr>
          <w:rFonts w:ascii="Calibri" w:hAnsi="Calibri" w:cs="Calibri"/>
          <w:sz w:val="22"/>
          <w:szCs w:val="22"/>
        </w:rPr>
        <w:t xml:space="preserve">la Société </w:t>
      </w:r>
      <w:r w:rsidR="000E3411" w:rsidRPr="000E3411">
        <w:rPr>
          <w:rFonts w:ascii="Calibri" w:hAnsi="Calibri" w:cs="Calibri"/>
          <w:sz w:val="22"/>
          <w:szCs w:val="22"/>
        </w:rPr>
        <w:t>aurait la capacité</w:t>
      </w:r>
      <w:r>
        <w:rPr>
          <w:rFonts w:ascii="Calibri" w:hAnsi="Calibri" w:cs="Calibri"/>
          <w:sz w:val="22"/>
          <w:szCs w:val="22"/>
        </w:rPr>
        <w:t xml:space="preserve"> de</w:t>
      </w:r>
      <w:r w:rsidR="00753E48" w:rsidRPr="000E3411">
        <w:rPr>
          <w:rFonts w:ascii="Calibri" w:hAnsi="Calibri" w:cs="Calibri"/>
          <w:sz w:val="22"/>
          <w:szCs w:val="22"/>
        </w:rPr>
        <w:t xml:space="preserve"> rembourser l’intégralité de son passif à horizon 5 ans</w:t>
      </w:r>
      <w:r w:rsidR="007E1E50" w:rsidRPr="000E3411">
        <w:rPr>
          <w:rFonts w:ascii="Calibri" w:hAnsi="Calibri" w:cs="Calibri"/>
          <w:sz w:val="22"/>
          <w:szCs w:val="22"/>
        </w:rPr>
        <w:t>.</w:t>
      </w:r>
    </w:p>
    <w:p w14:paraId="77E0EF32" w14:textId="5AD5CA04" w:rsidR="00CE5138" w:rsidRPr="000E3411" w:rsidRDefault="00FD2349" w:rsidP="00FD2349">
      <w:pPr>
        <w:spacing w:after="160" w:line="259" w:lineRule="auto"/>
        <w:rPr>
          <w:rFonts w:ascii="Calibri" w:hAnsi="Calibri" w:cs="Calibri"/>
          <w:sz w:val="22"/>
          <w:szCs w:val="22"/>
        </w:rPr>
      </w:pPr>
      <w:r>
        <w:rPr>
          <w:rFonts w:ascii="Calibri" w:hAnsi="Calibri" w:cs="Calibri"/>
          <w:sz w:val="22"/>
          <w:szCs w:val="22"/>
        </w:rPr>
        <w:br w:type="page"/>
      </w:r>
    </w:p>
    <w:p w14:paraId="7F8DD431" w14:textId="27CC290B" w:rsidR="00AA5855" w:rsidRPr="00CA0AFB" w:rsidRDefault="00AA5855" w:rsidP="002342B3">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85" w:name="_Toc191908203"/>
      <w:bookmarkStart w:id="86" w:name="_Toc222908305"/>
      <w:r w:rsidRPr="00CA0AFB">
        <w:rPr>
          <w:rFonts w:ascii="Calibri" w:hAnsi="Calibri" w:cs="Calibri"/>
          <w:b/>
          <w:sz w:val="22"/>
          <w:szCs w:val="22"/>
        </w:rPr>
        <w:lastRenderedPageBreak/>
        <w:t>ENGAGEMENT</w:t>
      </w:r>
      <w:r w:rsidR="004F36D5">
        <w:rPr>
          <w:rFonts w:ascii="Calibri" w:hAnsi="Calibri" w:cs="Calibri"/>
          <w:b/>
          <w:sz w:val="22"/>
          <w:szCs w:val="22"/>
        </w:rPr>
        <w:t>S</w:t>
      </w:r>
      <w:r w:rsidRPr="00CA0AFB">
        <w:rPr>
          <w:rFonts w:ascii="Calibri" w:hAnsi="Calibri" w:cs="Calibri"/>
          <w:b/>
          <w:sz w:val="22"/>
          <w:szCs w:val="22"/>
        </w:rPr>
        <w:t xml:space="preserve"> DE </w:t>
      </w:r>
      <w:r w:rsidR="005B4415">
        <w:rPr>
          <w:rFonts w:ascii="Calibri" w:hAnsi="Calibri" w:cs="Calibri"/>
          <w:b/>
          <w:sz w:val="22"/>
          <w:szCs w:val="22"/>
        </w:rPr>
        <w:t>L’</w:t>
      </w:r>
      <w:r w:rsidRPr="00CA0AFB">
        <w:rPr>
          <w:rFonts w:ascii="Calibri" w:hAnsi="Calibri" w:cs="Calibri"/>
          <w:b/>
          <w:sz w:val="22"/>
          <w:szCs w:val="22"/>
        </w:rPr>
        <w:t>ACTIONNAIRE</w:t>
      </w:r>
      <w:bookmarkEnd w:id="85"/>
      <w:r w:rsidR="00565DB1">
        <w:rPr>
          <w:rFonts w:ascii="Calibri" w:hAnsi="Calibri" w:cs="Calibri"/>
          <w:b/>
          <w:sz w:val="22"/>
          <w:szCs w:val="22"/>
        </w:rPr>
        <w:t xml:space="preserve"> ET DE LA SOCIÉTÉ</w:t>
      </w:r>
      <w:bookmarkEnd w:id="86"/>
    </w:p>
    <w:p w14:paraId="340CD877" w14:textId="77777777" w:rsidR="002343D2" w:rsidRPr="002343D2" w:rsidRDefault="002343D2" w:rsidP="002343D2">
      <w:pPr>
        <w:jc w:val="both"/>
        <w:rPr>
          <w:rFonts w:ascii="Calibri" w:hAnsi="Calibri" w:cs="Calibri"/>
          <w:b/>
          <w:bCs/>
          <w:sz w:val="22"/>
          <w:szCs w:val="22"/>
          <w:u w:val="single"/>
        </w:rPr>
      </w:pPr>
      <w:bookmarkStart w:id="87" w:name="_Hlk209523989"/>
    </w:p>
    <w:p w14:paraId="28F2E614" w14:textId="45A0C64F" w:rsidR="005B4415" w:rsidRPr="005B4415" w:rsidRDefault="005B4415" w:rsidP="002342B3">
      <w:pPr>
        <w:pStyle w:val="Paragraphedeliste"/>
        <w:numPr>
          <w:ilvl w:val="1"/>
          <w:numId w:val="9"/>
        </w:numPr>
        <w:jc w:val="both"/>
        <w:rPr>
          <w:rFonts w:ascii="Calibri" w:hAnsi="Calibri" w:cs="Calibri"/>
          <w:b/>
          <w:bCs/>
          <w:sz w:val="22"/>
          <w:szCs w:val="22"/>
          <w:u w:val="single"/>
        </w:rPr>
      </w:pPr>
      <w:r w:rsidRPr="005B4415">
        <w:rPr>
          <w:rFonts w:ascii="Calibri" w:hAnsi="Calibri" w:cs="Calibri"/>
          <w:b/>
          <w:bCs/>
          <w:sz w:val="22"/>
          <w:szCs w:val="22"/>
          <w:u w:val="single"/>
        </w:rPr>
        <w:t>Distribution de dividendes</w:t>
      </w:r>
    </w:p>
    <w:p w14:paraId="5B8DCB02" w14:textId="77777777" w:rsidR="005B4415" w:rsidRDefault="005B4415" w:rsidP="00AA5855">
      <w:pPr>
        <w:jc w:val="both"/>
        <w:rPr>
          <w:rFonts w:ascii="Calibri" w:hAnsi="Calibri" w:cs="Calibri"/>
          <w:sz w:val="22"/>
          <w:szCs w:val="22"/>
        </w:rPr>
      </w:pPr>
    </w:p>
    <w:bookmarkEnd w:id="87"/>
    <w:p w14:paraId="0F2C98D7" w14:textId="1DCC1600" w:rsidR="003967F8" w:rsidRDefault="00604572" w:rsidP="00713ED0">
      <w:pPr>
        <w:jc w:val="both"/>
        <w:rPr>
          <w:rFonts w:ascii="Calibri" w:hAnsi="Calibri" w:cs="Calibri"/>
          <w:sz w:val="22"/>
          <w:szCs w:val="22"/>
        </w:rPr>
      </w:pPr>
      <w:r>
        <w:rPr>
          <w:rFonts w:ascii="Calibri" w:hAnsi="Calibri" w:cs="Calibri"/>
          <w:sz w:val="22"/>
          <w:szCs w:val="22"/>
        </w:rPr>
        <w:t xml:space="preserve">La société </w:t>
      </w:r>
      <w:r w:rsidR="005E4018">
        <w:rPr>
          <w:rFonts w:ascii="Calibri" w:hAnsi="Calibri" w:cs="Calibri"/>
          <w:sz w:val="22"/>
          <w:szCs w:val="22"/>
        </w:rPr>
        <w:t>HFI</w:t>
      </w:r>
      <w:r>
        <w:rPr>
          <w:rFonts w:ascii="Calibri" w:hAnsi="Calibri" w:cs="Calibri"/>
          <w:sz w:val="22"/>
          <w:szCs w:val="22"/>
        </w:rPr>
        <w:t xml:space="preserve">, en qualité d’actionnaire à 50% de la Société, </w:t>
      </w:r>
      <w:r w:rsidRPr="00663FF6">
        <w:rPr>
          <w:rFonts w:ascii="Calibri" w:hAnsi="Calibri" w:cs="Calibri"/>
          <w:sz w:val="22"/>
          <w:szCs w:val="22"/>
        </w:rPr>
        <w:t xml:space="preserve">s’engage à ne </w:t>
      </w:r>
      <w:r>
        <w:rPr>
          <w:rFonts w:ascii="Calibri" w:hAnsi="Calibri" w:cs="Calibri"/>
          <w:sz w:val="22"/>
          <w:szCs w:val="22"/>
        </w:rPr>
        <w:t xml:space="preserve">voter ou verser aucun dividende </w:t>
      </w:r>
      <w:r w:rsidRPr="00663FF6">
        <w:rPr>
          <w:rFonts w:ascii="Calibri" w:hAnsi="Calibri" w:cs="Calibri"/>
          <w:sz w:val="22"/>
          <w:szCs w:val="22"/>
        </w:rPr>
        <w:t>pendant toute la durée du plan</w:t>
      </w:r>
      <w:r>
        <w:rPr>
          <w:rFonts w:ascii="Calibri" w:hAnsi="Calibri" w:cs="Calibri"/>
          <w:sz w:val="22"/>
          <w:szCs w:val="22"/>
        </w:rPr>
        <w:t xml:space="preserve">, </w:t>
      </w:r>
      <w:r w:rsidRPr="009346BB">
        <w:rPr>
          <w:rFonts w:ascii="Calibri" w:hAnsi="Calibri" w:cs="Calibri"/>
          <w:sz w:val="22"/>
          <w:szCs w:val="22"/>
        </w:rPr>
        <w:t xml:space="preserve">étant rappelé qu’au regard de la répartition du capital social et des droits de vote, </w:t>
      </w:r>
      <w:r w:rsidR="005E4018">
        <w:rPr>
          <w:rFonts w:ascii="Calibri" w:hAnsi="Calibri" w:cs="Calibri"/>
          <w:sz w:val="22"/>
          <w:szCs w:val="22"/>
        </w:rPr>
        <w:t>Monsieur Kevin Dahn</w:t>
      </w:r>
      <w:r w:rsidRPr="009346BB">
        <w:rPr>
          <w:rFonts w:ascii="Calibri" w:hAnsi="Calibri" w:cs="Calibri"/>
          <w:sz w:val="22"/>
          <w:szCs w:val="22"/>
        </w:rPr>
        <w:t>, actionnaire à 50% de la Société, ne pourra décider seul du versement des dividendes</w:t>
      </w:r>
      <w:r w:rsidRPr="00663FF6">
        <w:rPr>
          <w:rFonts w:ascii="Calibri" w:hAnsi="Calibri" w:cs="Calibri"/>
          <w:sz w:val="22"/>
          <w:szCs w:val="22"/>
        </w:rPr>
        <w:t>.</w:t>
      </w:r>
    </w:p>
    <w:p w14:paraId="4CB547E6" w14:textId="77777777" w:rsidR="00713ED0" w:rsidRPr="00663FF6" w:rsidRDefault="00713ED0" w:rsidP="00713ED0">
      <w:pPr>
        <w:jc w:val="both"/>
        <w:rPr>
          <w:rFonts w:ascii="Calibri" w:hAnsi="Calibri" w:cs="Calibri"/>
          <w:sz w:val="22"/>
          <w:szCs w:val="22"/>
        </w:rPr>
      </w:pPr>
    </w:p>
    <w:p w14:paraId="5AE81A9A" w14:textId="3602B719" w:rsidR="00AB4266" w:rsidRDefault="003967F8" w:rsidP="00713ED0">
      <w:pPr>
        <w:spacing w:after="120"/>
        <w:jc w:val="both"/>
        <w:rPr>
          <w:rFonts w:ascii="Calibri" w:hAnsi="Calibri" w:cs="Calibri"/>
          <w:sz w:val="22"/>
          <w:szCs w:val="22"/>
        </w:rPr>
      </w:pPr>
      <w:r w:rsidRPr="00663FF6">
        <w:rPr>
          <w:rFonts w:ascii="Calibri" w:hAnsi="Calibri" w:cs="Calibri"/>
          <w:sz w:val="22"/>
          <w:szCs w:val="22"/>
        </w:rPr>
        <w:t>Cet engagement est matérialisé par</w:t>
      </w:r>
      <w:r w:rsidR="00AB4266">
        <w:rPr>
          <w:rFonts w:ascii="Calibri" w:hAnsi="Calibri" w:cs="Calibri"/>
          <w:sz w:val="22"/>
          <w:szCs w:val="22"/>
        </w:rPr>
        <w:t> :</w:t>
      </w:r>
    </w:p>
    <w:p w14:paraId="7C04BF44" w14:textId="2804D693" w:rsidR="00AA5855" w:rsidRDefault="00AB4266" w:rsidP="00713ED0">
      <w:pPr>
        <w:pStyle w:val="Paragraphedeliste"/>
        <w:numPr>
          <w:ilvl w:val="0"/>
          <w:numId w:val="3"/>
        </w:numPr>
        <w:spacing w:after="120"/>
        <w:ind w:left="714" w:hanging="357"/>
        <w:contextualSpacing w:val="0"/>
        <w:jc w:val="both"/>
        <w:rPr>
          <w:rFonts w:ascii="Calibri" w:hAnsi="Calibri" w:cs="Calibri"/>
          <w:sz w:val="22"/>
          <w:szCs w:val="22"/>
        </w:rPr>
      </w:pPr>
      <w:r>
        <w:rPr>
          <w:rFonts w:ascii="Calibri" w:hAnsi="Calibri" w:cs="Calibri"/>
          <w:sz w:val="22"/>
          <w:szCs w:val="22"/>
        </w:rPr>
        <w:t>L</w:t>
      </w:r>
      <w:r w:rsidR="003967F8" w:rsidRPr="00AB4266">
        <w:rPr>
          <w:rFonts w:ascii="Calibri" w:hAnsi="Calibri" w:cs="Calibri"/>
          <w:sz w:val="22"/>
          <w:szCs w:val="22"/>
        </w:rPr>
        <w:t>a signature par Madame Sindy Lévy</w:t>
      </w:r>
      <w:r>
        <w:rPr>
          <w:rFonts w:ascii="Calibri" w:hAnsi="Calibri" w:cs="Calibri"/>
          <w:sz w:val="22"/>
          <w:szCs w:val="22"/>
        </w:rPr>
        <w:t xml:space="preserve"> en sa qualité de représentante de la société HFI, par l’intermédiaire de la société Sindy Management.</w:t>
      </w:r>
    </w:p>
    <w:p w14:paraId="499EDBAB" w14:textId="053AEF18" w:rsidR="00AB4266" w:rsidRPr="00AB4266" w:rsidRDefault="00AB4266" w:rsidP="00713ED0">
      <w:pPr>
        <w:pStyle w:val="Paragraphedeliste"/>
        <w:numPr>
          <w:ilvl w:val="0"/>
          <w:numId w:val="3"/>
        </w:numPr>
        <w:spacing w:after="120"/>
        <w:ind w:left="714" w:hanging="357"/>
        <w:contextualSpacing w:val="0"/>
        <w:jc w:val="both"/>
        <w:rPr>
          <w:rFonts w:ascii="Calibri" w:hAnsi="Calibri" w:cs="Calibri"/>
          <w:sz w:val="22"/>
          <w:szCs w:val="22"/>
        </w:rPr>
      </w:pPr>
      <w:r>
        <w:rPr>
          <w:rFonts w:ascii="Calibri" w:hAnsi="Calibri" w:cs="Calibri"/>
          <w:sz w:val="22"/>
          <w:szCs w:val="22"/>
        </w:rPr>
        <w:t xml:space="preserve">La signature de Madame Sindy Lévy en qualité de </w:t>
      </w:r>
      <w:r w:rsidR="00BA29F3">
        <w:rPr>
          <w:rFonts w:ascii="Calibri" w:hAnsi="Calibri" w:cs="Calibri"/>
          <w:sz w:val="22"/>
          <w:szCs w:val="22"/>
        </w:rPr>
        <w:t xml:space="preserve">Gérante </w:t>
      </w:r>
      <w:r>
        <w:rPr>
          <w:rFonts w:ascii="Calibri" w:hAnsi="Calibri" w:cs="Calibri"/>
          <w:sz w:val="22"/>
          <w:szCs w:val="22"/>
        </w:rPr>
        <w:t xml:space="preserve">de la société </w:t>
      </w:r>
      <w:r w:rsidR="00BA29F3">
        <w:rPr>
          <w:rFonts w:ascii="Calibri" w:hAnsi="Calibri" w:cs="Calibri"/>
          <w:sz w:val="22"/>
          <w:szCs w:val="22"/>
        </w:rPr>
        <w:t xml:space="preserve">SCI Tolbiac. </w:t>
      </w:r>
    </w:p>
    <w:p w14:paraId="7B65915B" w14:textId="77777777" w:rsidR="005B4415" w:rsidRDefault="005B4415" w:rsidP="003967F8">
      <w:pPr>
        <w:jc w:val="both"/>
        <w:rPr>
          <w:rFonts w:ascii="Calibri" w:hAnsi="Calibri" w:cs="Calibri"/>
          <w:sz w:val="22"/>
          <w:szCs w:val="22"/>
        </w:rPr>
      </w:pPr>
    </w:p>
    <w:p w14:paraId="4629CE3B" w14:textId="1240D659" w:rsidR="00030C10" w:rsidRDefault="008A53D8" w:rsidP="002342B3">
      <w:pPr>
        <w:pStyle w:val="Paragraphedeliste"/>
        <w:numPr>
          <w:ilvl w:val="1"/>
          <w:numId w:val="9"/>
        </w:numPr>
        <w:jc w:val="both"/>
        <w:rPr>
          <w:rFonts w:ascii="Calibri" w:hAnsi="Calibri" w:cs="Calibri"/>
          <w:b/>
          <w:bCs/>
          <w:sz w:val="22"/>
          <w:szCs w:val="22"/>
          <w:u w:val="single"/>
        </w:rPr>
      </w:pPr>
      <w:r>
        <w:rPr>
          <w:rFonts w:ascii="Calibri" w:hAnsi="Calibri" w:cs="Calibri"/>
          <w:b/>
          <w:bCs/>
          <w:sz w:val="22"/>
          <w:szCs w:val="22"/>
          <w:u w:val="single"/>
        </w:rPr>
        <w:t>Modalités de refinancement</w:t>
      </w:r>
    </w:p>
    <w:p w14:paraId="5C6ED415" w14:textId="77777777" w:rsidR="00A74445" w:rsidRDefault="00A74445" w:rsidP="00A74445">
      <w:pPr>
        <w:jc w:val="both"/>
        <w:rPr>
          <w:rFonts w:ascii="Calibri" w:hAnsi="Calibri" w:cs="Calibri"/>
          <w:sz w:val="22"/>
          <w:szCs w:val="22"/>
          <w:u w:val="single"/>
        </w:rPr>
      </w:pPr>
    </w:p>
    <w:p w14:paraId="39DEA7EE" w14:textId="47C0E215" w:rsidR="00B01C5C" w:rsidRDefault="00BE127E" w:rsidP="00B01C5C">
      <w:pPr>
        <w:jc w:val="both"/>
        <w:rPr>
          <w:rFonts w:ascii="Calibri" w:hAnsi="Calibri" w:cs="Calibri"/>
          <w:sz w:val="22"/>
          <w:szCs w:val="22"/>
        </w:rPr>
      </w:pPr>
      <w:r>
        <w:rPr>
          <w:rFonts w:ascii="Calibri" w:hAnsi="Calibri" w:cs="Calibri"/>
          <w:sz w:val="22"/>
          <w:szCs w:val="22"/>
        </w:rPr>
        <w:t>Madame Sindy Lévy</w:t>
      </w:r>
      <w:r w:rsidR="003856C1">
        <w:rPr>
          <w:rFonts w:ascii="Calibri" w:hAnsi="Calibri" w:cs="Calibri"/>
          <w:sz w:val="22"/>
          <w:szCs w:val="22"/>
        </w:rPr>
        <w:t>, en sa qualité de gérante de la société Tolbiac,</w:t>
      </w:r>
      <w:r w:rsidR="00933F40">
        <w:rPr>
          <w:rFonts w:ascii="Calibri" w:hAnsi="Calibri" w:cs="Calibri"/>
          <w:sz w:val="22"/>
          <w:szCs w:val="22"/>
        </w:rPr>
        <w:t xml:space="preserve"> et la société</w:t>
      </w:r>
      <w:r w:rsidR="00933F40" w:rsidRPr="00933F40">
        <w:rPr>
          <w:rFonts w:ascii="Calibri" w:hAnsi="Calibri" w:cs="Calibri"/>
          <w:sz w:val="22"/>
          <w:szCs w:val="22"/>
        </w:rPr>
        <w:t xml:space="preserve"> </w:t>
      </w:r>
      <w:r w:rsidR="00933F40">
        <w:rPr>
          <w:rFonts w:ascii="Calibri" w:hAnsi="Calibri" w:cs="Calibri"/>
          <w:sz w:val="22"/>
          <w:szCs w:val="22"/>
        </w:rPr>
        <w:t>HFI, en qualité d’actionnaire à 50% de la Société,</w:t>
      </w:r>
      <w:r w:rsidR="00AB4266">
        <w:rPr>
          <w:rFonts w:ascii="Calibri" w:hAnsi="Calibri" w:cs="Calibri"/>
          <w:sz w:val="22"/>
          <w:szCs w:val="22"/>
        </w:rPr>
        <w:t xml:space="preserve"> </w:t>
      </w:r>
      <w:r w:rsidR="00B01C5C" w:rsidRPr="007A1442">
        <w:rPr>
          <w:rFonts w:ascii="Calibri" w:hAnsi="Calibri" w:cs="Calibri"/>
          <w:sz w:val="22"/>
          <w:szCs w:val="22"/>
        </w:rPr>
        <w:t>s’engage</w:t>
      </w:r>
      <w:r w:rsidR="00C043BE">
        <w:rPr>
          <w:rFonts w:ascii="Calibri" w:hAnsi="Calibri" w:cs="Calibri"/>
          <w:sz w:val="22"/>
          <w:szCs w:val="22"/>
        </w:rPr>
        <w:t>nt</w:t>
      </w:r>
      <w:r w:rsidR="00B01C5C" w:rsidRPr="007A1442">
        <w:rPr>
          <w:rFonts w:ascii="Calibri" w:hAnsi="Calibri" w:cs="Calibri"/>
          <w:sz w:val="22"/>
          <w:szCs w:val="22"/>
        </w:rPr>
        <w:t xml:space="preserve"> à </w:t>
      </w:r>
      <w:r w:rsidR="00FD532E">
        <w:rPr>
          <w:rFonts w:ascii="Calibri" w:hAnsi="Calibri" w:cs="Calibri"/>
          <w:sz w:val="22"/>
          <w:szCs w:val="22"/>
        </w:rPr>
        <w:t>initier</w:t>
      </w:r>
      <w:r w:rsidR="00C7714C">
        <w:rPr>
          <w:rFonts w:ascii="Calibri" w:hAnsi="Calibri" w:cs="Calibri"/>
          <w:sz w:val="22"/>
          <w:szCs w:val="22"/>
        </w:rPr>
        <w:t xml:space="preserve"> des recherches relatives à l’obtention de </w:t>
      </w:r>
      <w:r w:rsidR="00A44548">
        <w:rPr>
          <w:rFonts w:ascii="Calibri" w:hAnsi="Calibri" w:cs="Calibri"/>
          <w:sz w:val="22"/>
          <w:szCs w:val="22"/>
        </w:rPr>
        <w:t xml:space="preserve">nouveaux financements bancaires </w:t>
      </w:r>
      <w:r w:rsidR="00CC3D2C">
        <w:rPr>
          <w:rFonts w:ascii="Calibri" w:hAnsi="Calibri" w:cs="Calibri"/>
          <w:sz w:val="22"/>
          <w:szCs w:val="22"/>
        </w:rPr>
        <w:t>afin de lui permettre d</w:t>
      </w:r>
      <w:r w:rsidR="00E04D44">
        <w:rPr>
          <w:rFonts w:ascii="Calibri" w:hAnsi="Calibri" w:cs="Calibri"/>
          <w:sz w:val="22"/>
          <w:szCs w:val="22"/>
        </w:rPr>
        <w:t xml:space="preserve">e </w:t>
      </w:r>
      <w:r w:rsidR="003D096E">
        <w:rPr>
          <w:rFonts w:ascii="Calibri" w:hAnsi="Calibri" w:cs="Calibri"/>
          <w:sz w:val="22"/>
          <w:szCs w:val="22"/>
        </w:rPr>
        <w:t xml:space="preserve">procéder au paiement de la dernière annuité </w:t>
      </w:r>
      <w:r w:rsidR="00C95882">
        <w:rPr>
          <w:rFonts w:ascii="Calibri" w:hAnsi="Calibri" w:cs="Calibri"/>
          <w:sz w:val="22"/>
          <w:szCs w:val="22"/>
        </w:rPr>
        <w:t>de son plan de redressement par voie de continuation.</w:t>
      </w:r>
      <w:r w:rsidR="00E62DC4">
        <w:rPr>
          <w:rFonts w:ascii="Calibri" w:hAnsi="Calibri" w:cs="Calibri"/>
          <w:sz w:val="22"/>
          <w:szCs w:val="22"/>
        </w:rPr>
        <w:t xml:space="preserve"> </w:t>
      </w:r>
      <w:r w:rsidR="001727CF">
        <w:rPr>
          <w:rFonts w:ascii="Calibri" w:hAnsi="Calibri" w:cs="Calibri"/>
          <w:sz w:val="22"/>
          <w:szCs w:val="22"/>
        </w:rPr>
        <w:t xml:space="preserve">Ce refinancement devra intervenir </w:t>
      </w:r>
      <w:r w:rsidR="009402F5">
        <w:rPr>
          <w:rFonts w:ascii="Calibri" w:hAnsi="Calibri" w:cs="Calibri"/>
          <w:sz w:val="22"/>
          <w:szCs w:val="22"/>
        </w:rPr>
        <w:t xml:space="preserve">avant le </w:t>
      </w:r>
      <w:r w:rsidR="005815A0">
        <w:rPr>
          <w:rFonts w:ascii="Calibri" w:hAnsi="Calibri" w:cs="Calibri"/>
          <w:sz w:val="22"/>
          <w:szCs w:val="22"/>
        </w:rPr>
        <w:t xml:space="preserve">31 </w:t>
      </w:r>
      <w:r w:rsidR="00565DB1">
        <w:rPr>
          <w:rFonts w:ascii="Calibri" w:hAnsi="Calibri" w:cs="Calibri"/>
          <w:sz w:val="22"/>
          <w:szCs w:val="22"/>
        </w:rPr>
        <w:t>m</w:t>
      </w:r>
      <w:r w:rsidR="005815A0">
        <w:rPr>
          <w:rFonts w:ascii="Calibri" w:hAnsi="Calibri" w:cs="Calibri"/>
          <w:sz w:val="22"/>
          <w:szCs w:val="22"/>
        </w:rPr>
        <w:t>ars</w:t>
      </w:r>
      <w:r w:rsidR="009402F5">
        <w:rPr>
          <w:rFonts w:ascii="Calibri" w:hAnsi="Calibri" w:cs="Calibri"/>
          <w:sz w:val="22"/>
          <w:szCs w:val="22"/>
        </w:rPr>
        <w:t> 2030.</w:t>
      </w:r>
    </w:p>
    <w:p w14:paraId="287014F6" w14:textId="77777777" w:rsidR="004F36D5" w:rsidRDefault="004F36D5" w:rsidP="00B01C5C">
      <w:pPr>
        <w:jc w:val="both"/>
        <w:rPr>
          <w:rFonts w:ascii="Calibri" w:hAnsi="Calibri" w:cs="Calibri"/>
          <w:sz w:val="22"/>
          <w:szCs w:val="22"/>
        </w:rPr>
      </w:pPr>
    </w:p>
    <w:p w14:paraId="6099370C" w14:textId="33BF4EB4" w:rsidR="00BE34AF" w:rsidRDefault="00BE34AF" w:rsidP="00B01C5C">
      <w:pPr>
        <w:jc w:val="both"/>
        <w:rPr>
          <w:rFonts w:ascii="Calibri" w:hAnsi="Calibri" w:cs="Calibri"/>
          <w:sz w:val="22"/>
          <w:szCs w:val="22"/>
        </w:rPr>
      </w:pPr>
      <w:r>
        <w:rPr>
          <w:rFonts w:ascii="Calibri" w:hAnsi="Calibri" w:cs="Calibri"/>
          <w:sz w:val="22"/>
          <w:szCs w:val="22"/>
        </w:rPr>
        <w:t>Le montant du refinancement serait de</w:t>
      </w:r>
      <w:r w:rsidRPr="00BE34AF">
        <w:rPr>
          <w:rFonts w:ascii="Calibri" w:hAnsi="Calibri" w:cs="Calibri"/>
          <w:b/>
          <w:bCs/>
          <w:sz w:val="22"/>
          <w:szCs w:val="22"/>
        </w:rPr>
        <w:t xml:space="preserve"> 406K€</w:t>
      </w:r>
      <w:r>
        <w:rPr>
          <w:rFonts w:ascii="Calibri" w:hAnsi="Calibri" w:cs="Calibri"/>
          <w:sz w:val="22"/>
          <w:szCs w:val="22"/>
        </w:rPr>
        <w:t xml:space="preserve">. </w:t>
      </w:r>
    </w:p>
    <w:p w14:paraId="1C3F1C23" w14:textId="77777777" w:rsidR="00BE34AF" w:rsidRDefault="00BE34AF" w:rsidP="00B01C5C">
      <w:pPr>
        <w:jc w:val="both"/>
        <w:rPr>
          <w:rFonts w:ascii="Calibri" w:hAnsi="Calibri" w:cs="Calibri"/>
          <w:sz w:val="22"/>
          <w:szCs w:val="22"/>
        </w:rPr>
      </w:pPr>
    </w:p>
    <w:p w14:paraId="4AAA5B74" w14:textId="5183787C" w:rsidR="004F36D5" w:rsidRDefault="004F36D5" w:rsidP="00B01C5C">
      <w:pPr>
        <w:jc w:val="both"/>
        <w:rPr>
          <w:rFonts w:ascii="Calibri" w:hAnsi="Calibri" w:cs="Calibri"/>
          <w:sz w:val="22"/>
          <w:szCs w:val="22"/>
        </w:rPr>
      </w:pPr>
      <w:r>
        <w:rPr>
          <w:rFonts w:ascii="Calibri" w:hAnsi="Calibri" w:cs="Calibri"/>
          <w:sz w:val="22"/>
          <w:szCs w:val="22"/>
        </w:rPr>
        <w:t>Le commissaire à l’exécution du plan sera informé de manière semestrielle des diligences entreprises en ce sens.</w:t>
      </w:r>
    </w:p>
    <w:p w14:paraId="4F1E5C23" w14:textId="77777777" w:rsidR="009402F5" w:rsidRDefault="009402F5" w:rsidP="00B01C5C">
      <w:pPr>
        <w:jc w:val="both"/>
        <w:rPr>
          <w:rFonts w:ascii="Calibri" w:hAnsi="Calibri" w:cs="Calibri"/>
          <w:sz w:val="22"/>
          <w:szCs w:val="22"/>
        </w:rPr>
      </w:pPr>
    </w:p>
    <w:p w14:paraId="7A6F06D3" w14:textId="2CB9A672" w:rsidR="009402F5" w:rsidRDefault="009402F5" w:rsidP="00B01C5C">
      <w:pPr>
        <w:jc w:val="both"/>
        <w:rPr>
          <w:rFonts w:ascii="Calibri" w:hAnsi="Calibri" w:cs="Calibri"/>
          <w:sz w:val="22"/>
          <w:szCs w:val="22"/>
        </w:rPr>
      </w:pPr>
      <w:r>
        <w:rPr>
          <w:rFonts w:ascii="Calibri" w:hAnsi="Calibri" w:cs="Calibri"/>
          <w:sz w:val="22"/>
          <w:szCs w:val="22"/>
        </w:rPr>
        <w:t xml:space="preserve">Dans l’hypothèse </w:t>
      </w:r>
      <w:r w:rsidR="004F36D5">
        <w:rPr>
          <w:rFonts w:ascii="Calibri" w:hAnsi="Calibri" w:cs="Calibri"/>
          <w:sz w:val="22"/>
          <w:szCs w:val="22"/>
        </w:rPr>
        <w:t xml:space="preserve">dans laquelle </w:t>
      </w:r>
      <w:r>
        <w:rPr>
          <w:rFonts w:ascii="Calibri" w:hAnsi="Calibri" w:cs="Calibri"/>
          <w:sz w:val="22"/>
          <w:szCs w:val="22"/>
        </w:rPr>
        <w:t>la Société ne parviendrait pas à obtenir un refinancement</w:t>
      </w:r>
      <w:r w:rsidR="00FD532E">
        <w:rPr>
          <w:rFonts w:ascii="Calibri" w:hAnsi="Calibri" w:cs="Calibri"/>
          <w:sz w:val="22"/>
          <w:szCs w:val="22"/>
        </w:rPr>
        <w:t xml:space="preserve"> avant cette date butoir, </w:t>
      </w:r>
      <w:r w:rsidR="008A53D8">
        <w:rPr>
          <w:rFonts w:ascii="Calibri" w:hAnsi="Calibri" w:cs="Calibri"/>
          <w:sz w:val="22"/>
          <w:szCs w:val="22"/>
        </w:rPr>
        <w:t xml:space="preserve">l’actionnaire de la Société </w:t>
      </w:r>
      <w:r w:rsidR="00FD532E">
        <w:rPr>
          <w:rFonts w:ascii="Calibri" w:hAnsi="Calibri" w:cs="Calibri"/>
          <w:sz w:val="22"/>
          <w:szCs w:val="22"/>
        </w:rPr>
        <w:t xml:space="preserve">s’engage à </w:t>
      </w:r>
      <w:r w:rsidR="008A53D8">
        <w:rPr>
          <w:rFonts w:ascii="Calibri" w:hAnsi="Calibri" w:cs="Calibri"/>
          <w:sz w:val="22"/>
          <w:szCs w:val="22"/>
        </w:rPr>
        <w:t>céder ses actifs immobiliers en vue du remboursement de la dernière annuité de son plan de redressement par voie de continuation.</w:t>
      </w:r>
    </w:p>
    <w:p w14:paraId="4E713CF6" w14:textId="77777777" w:rsidR="009402F5" w:rsidRDefault="009402F5" w:rsidP="00B01C5C">
      <w:pPr>
        <w:jc w:val="both"/>
        <w:rPr>
          <w:rFonts w:ascii="Calibri" w:hAnsi="Calibri" w:cs="Calibri"/>
          <w:sz w:val="22"/>
          <w:szCs w:val="22"/>
        </w:rPr>
      </w:pPr>
    </w:p>
    <w:p w14:paraId="7A934487" w14:textId="7C83F553" w:rsidR="0025492F" w:rsidRDefault="008A53D8" w:rsidP="003967F8">
      <w:pPr>
        <w:jc w:val="both"/>
        <w:rPr>
          <w:rFonts w:ascii="Calibri" w:hAnsi="Calibri" w:cs="Calibri"/>
          <w:sz w:val="22"/>
          <w:szCs w:val="22"/>
        </w:rPr>
      </w:pPr>
      <w:r>
        <w:rPr>
          <w:rFonts w:ascii="Calibri" w:hAnsi="Calibri" w:cs="Calibri"/>
          <w:sz w:val="22"/>
          <w:szCs w:val="22"/>
        </w:rPr>
        <w:t>Ainsi, l</w:t>
      </w:r>
      <w:r w:rsidR="0025492F" w:rsidRPr="007A1442">
        <w:rPr>
          <w:rFonts w:ascii="Calibri" w:hAnsi="Calibri" w:cs="Calibri"/>
          <w:sz w:val="22"/>
          <w:szCs w:val="22"/>
        </w:rPr>
        <w:t xml:space="preserve">’actionnaire de la Société s’engage à respecter </w:t>
      </w:r>
      <w:r w:rsidR="0025492F" w:rsidRPr="00CE5138">
        <w:rPr>
          <w:rFonts w:ascii="Calibri" w:hAnsi="Calibri" w:cs="Calibri"/>
          <w:sz w:val="22"/>
          <w:szCs w:val="22"/>
          <w:u w:val="single"/>
        </w:rPr>
        <w:t xml:space="preserve">le calendrier </w:t>
      </w:r>
      <w:r w:rsidR="007A1442" w:rsidRPr="00CE5138">
        <w:rPr>
          <w:rFonts w:ascii="Calibri" w:hAnsi="Calibri" w:cs="Calibri"/>
          <w:sz w:val="22"/>
          <w:szCs w:val="22"/>
          <w:u w:val="single"/>
        </w:rPr>
        <w:t xml:space="preserve">indicatif </w:t>
      </w:r>
      <w:r w:rsidR="0025492F" w:rsidRPr="007A1442">
        <w:rPr>
          <w:rFonts w:ascii="Calibri" w:hAnsi="Calibri" w:cs="Calibri"/>
          <w:sz w:val="22"/>
          <w:szCs w:val="22"/>
        </w:rPr>
        <w:t>de cession suivant :</w:t>
      </w:r>
    </w:p>
    <w:p w14:paraId="60C0BE22" w14:textId="41FD8132" w:rsidR="00663FF6" w:rsidRDefault="00663FF6"/>
    <w:tbl>
      <w:tblPr>
        <w:tblStyle w:val="Grilledutableau"/>
        <w:tblW w:w="0" w:type="auto"/>
        <w:tblLook w:val="04A0" w:firstRow="1" w:lastRow="0" w:firstColumn="1" w:lastColumn="0" w:noHBand="0" w:noVBand="1"/>
      </w:tblPr>
      <w:tblGrid>
        <w:gridCol w:w="4531"/>
        <w:gridCol w:w="4531"/>
      </w:tblGrid>
      <w:tr w:rsidR="00B47DDD" w14:paraId="0C0ABAB4" w14:textId="77777777" w:rsidTr="004651D3">
        <w:tc>
          <w:tcPr>
            <w:tcW w:w="4531" w:type="dxa"/>
            <w:shd w:val="clear" w:color="auto" w:fill="FFC000"/>
            <w:vAlign w:val="center"/>
          </w:tcPr>
          <w:p w14:paraId="6D00CC0E"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t>1</w:t>
            </w:r>
            <w:r w:rsidRPr="007A1442">
              <w:rPr>
                <w:rFonts w:ascii="Calibri" w:hAnsi="Calibri" w:cs="Calibri"/>
                <w:b/>
                <w:bCs/>
                <w:sz w:val="22"/>
                <w:szCs w:val="22"/>
                <w:vertAlign w:val="superscript"/>
              </w:rPr>
              <w:t>er</w:t>
            </w:r>
            <w:r w:rsidRPr="007A1442">
              <w:rPr>
                <w:rFonts w:ascii="Calibri" w:hAnsi="Calibri" w:cs="Calibri"/>
                <w:b/>
                <w:bCs/>
                <w:sz w:val="22"/>
                <w:szCs w:val="22"/>
              </w:rPr>
              <w:t xml:space="preserve"> </w:t>
            </w:r>
            <w:r>
              <w:rPr>
                <w:rFonts w:ascii="Calibri" w:hAnsi="Calibri" w:cs="Calibri"/>
                <w:b/>
                <w:bCs/>
                <w:sz w:val="22"/>
                <w:szCs w:val="22"/>
              </w:rPr>
              <w:t>juillet</w:t>
            </w:r>
            <w:r w:rsidRPr="007A1442">
              <w:rPr>
                <w:rFonts w:ascii="Calibri" w:hAnsi="Calibri" w:cs="Calibri"/>
                <w:b/>
                <w:bCs/>
                <w:sz w:val="22"/>
                <w:szCs w:val="22"/>
              </w:rPr>
              <w:t xml:space="preserve"> 2030 </w:t>
            </w:r>
            <w:r>
              <w:rPr>
                <w:rFonts w:ascii="Calibri" w:hAnsi="Calibri" w:cs="Calibri"/>
                <w:b/>
                <w:bCs/>
                <w:sz w:val="22"/>
                <w:szCs w:val="22"/>
              </w:rPr>
              <w:t>–</w:t>
            </w:r>
            <w:r w:rsidRPr="007A1442">
              <w:rPr>
                <w:rFonts w:ascii="Calibri" w:hAnsi="Calibri" w:cs="Calibri"/>
                <w:b/>
                <w:bCs/>
                <w:sz w:val="22"/>
                <w:szCs w:val="22"/>
              </w:rPr>
              <w:t xml:space="preserve"> 3</w:t>
            </w:r>
            <w:r>
              <w:rPr>
                <w:rFonts w:ascii="Calibri" w:hAnsi="Calibri" w:cs="Calibri"/>
                <w:b/>
                <w:bCs/>
                <w:sz w:val="22"/>
                <w:szCs w:val="22"/>
              </w:rPr>
              <w:t xml:space="preserve">1 juillet </w:t>
            </w:r>
            <w:r w:rsidRPr="007A1442">
              <w:rPr>
                <w:rFonts w:ascii="Calibri" w:hAnsi="Calibri" w:cs="Calibri"/>
                <w:b/>
                <w:bCs/>
                <w:sz w:val="22"/>
                <w:szCs w:val="22"/>
              </w:rPr>
              <w:t>2030 (1mois)</w:t>
            </w:r>
          </w:p>
        </w:tc>
        <w:tc>
          <w:tcPr>
            <w:tcW w:w="4531" w:type="dxa"/>
            <w:vAlign w:val="center"/>
          </w:tcPr>
          <w:p w14:paraId="52A12B66" w14:textId="77777777" w:rsidR="00B47DDD" w:rsidRDefault="00B47DDD" w:rsidP="004651D3">
            <w:pPr>
              <w:jc w:val="center"/>
              <w:rPr>
                <w:rFonts w:ascii="Calibri" w:hAnsi="Calibri" w:cs="Calibri"/>
                <w:sz w:val="22"/>
                <w:szCs w:val="22"/>
              </w:rPr>
            </w:pPr>
            <w:r>
              <w:rPr>
                <w:rFonts w:ascii="Calibri" w:hAnsi="Calibri" w:cs="Calibri"/>
                <w:sz w:val="22"/>
                <w:szCs w:val="22"/>
              </w:rPr>
              <w:t>Signature d’un mandat de vente.</w:t>
            </w:r>
          </w:p>
        </w:tc>
      </w:tr>
      <w:tr w:rsidR="00B47DDD" w14:paraId="32028AFE" w14:textId="77777777" w:rsidTr="004651D3">
        <w:tc>
          <w:tcPr>
            <w:tcW w:w="4531" w:type="dxa"/>
            <w:shd w:val="clear" w:color="auto" w:fill="FFC000"/>
            <w:vAlign w:val="center"/>
          </w:tcPr>
          <w:p w14:paraId="12A94C48"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t>1</w:t>
            </w:r>
            <w:r w:rsidRPr="007A1442">
              <w:rPr>
                <w:rFonts w:ascii="Calibri" w:hAnsi="Calibri" w:cs="Calibri"/>
                <w:b/>
                <w:bCs/>
                <w:sz w:val="22"/>
                <w:szCs w:val="22"/>
                <w:vertAlign w:val="superscript"/>
              </w:rPr>
              <w:t>er</w:t>
            </w:r>
            <w:r w:rsidRPr="007A1442">
              <w:rPr>
                <w:rFonts w:ascii="Calibri" w:hAnsi="Calibri" w:cs="Calibri"/>
                <w:b/>
                <w:bCs/>
                <w:sz w:val="22"/>
                <w:szCs w:val="22"/>
              </w:rPr>
              <w:t xml:space="preserve"> </w:t>
            </w:r>
            <w:r>
              <w:rPr>
                <w:rFonts w:ascii="Calibri" w:hAnsi="Calibri" w:cs="Calibri"/>
                <w:b/>
                <w:bCs/>
                <w:sz w:val="22"/>
                <w:szCs w:val="22"/>
              </w:rPr>
              <w:t>août</w:t>
            </w:r>
            <w:r w:rsidRPr="007A1442">
              <w:rPr>
                <w:rFonts w:ascii="Calibri" w:hAnsi="Calibri" w:cs="Calibri"/>
                <w:b/>
                <w:bCs/>
                <w:sz w:val="22"/>
                <w:szCs w:val="22"/>
              </w:rPr>
              <w:t xml:space="preserve"> 2030 – </w:t>
            </w:r>
            <w:r>
              <w:rPr>
                <w:rFonts w:ascii="Calibri" w:hAnsi="Calibri" w:cs="Calibri"/>
                <w:b/>
                <w:bCs/>
                <w:sz w:val="22"/>
                <w:szCs w:val="22"/>
              </w:rPr>
              <w:t>30 septembre</w:t>
            </w:r>
            <w:r w:rsidRPr="007A1442">
              <w:rPr>
                <w:rFonts w:ascii="Calibri" w:hAnsi="Calibri" w:cs="Calibri"/>
                <w:b/>
                <w:bCs/>
                <w:sz w:val="22"/>
                <w:szCs w:val="22"/>
              </w:rPr>
              <w:t xml:space="preserve"> 2030 (</w:t>
            </w:r>
            <w:r>
              <w:rPr>
                <w:rFonts w:ascii="Calibri" w:hAnsi="Calibri" w:cs="Calibri"/>
                <w:b/>
                <w:bCs/>
                <w:sz w:val="22"/>
                <w:szCs w:val="22"/>
              </w:rPr>
              <w:t>2</w:t>
            </w:r>
            <w:r w:rsidRPr="007A1442">
              <w:rPr>
                <w:rFonts w:ascii="Calibri" w:hAnsi="Calibri" w:cs="Calibri"/>
                <w:b/>
                <w:bCs/>
                <w:sz w:val="22"/>
                <w:szCs w:val="22"/>
              </w:rPr>
              <w:t xml:space="preserve"> mois)</w:t>
            </w:r>
          </w:p>
        </w:tc>
        <w:tc>
          <w:tcPr>
            <w:tcW w:w="4531" w:type="dxa"/>
            <w:vAlign w:val="center"/>
          </w:tcPr>
          <w:p w14:paraId="03E0252D" w14:textId="77777777" w:rsidR="00B47DDD" w:rsidRPr="00CD44AC" w:rsidRDefault="00B47DDD" w:rsidP="004651D3">
            <w:pPr>
              <w:pStyle w:val="Paragraphedeliste"/>
              <w:numPr>
                <w:ilvl w:val="0"/>
                <w:numId w:val="3"/>
              </w:numPr>
              <w:spacing w:before="120"/>
              <w:ind w:left="322" w:hanging="357"/>
              <w:contextualSpacing w:val="0"/>
              <w:jc w:val="center"/>
              <w:rPr>
                <w:rFonts w:ascii="Calibri" w:hAnsi="Calibri" w:cs="Calibri"/>
                <w:sz w:val="22"/>
                <w:szCs w:val="22"/>
              </w:rPr>
            </w:pPr>
            <w:r w:rsidRPr="00CD44AC">
              <w:rPr>
                <w:rFonts w:ascii="Calibri" w:hAnsi="Calibri" w:cs="Calibri"/>
                <w:sz w:val="22"/>
                <w:szCs w:val="22"/>
              </w:rPr>
              <w:t>Constitution du dossier de vente (DPE, diagnostics, titres de propriété, règlement de copropriété, etc.)</w:t>
            </w:r>
            <w:r>
              <w:rPr>
                <w:rFonts w:ascii="Calibri" w:hAnsi="Calibri" w:cs="Calibri"/>
                <w:sz w:val="22"/>
                <w:szCs w:val="22"/>
              </w:rPr>
              <w:t> ;</w:t>
            </w:r>
          </w:p>
          <w:p w14:paraId="48FED99B" w14:textId="77777777" w:rsidR="00B47DDD" w:rsidRPr="00CD44AC" w:rsidRDefault="00B47DDD" w:rsidP="004651D3">
            <w:pPr>
              <w:pStyle w:val="Paragraphedeliste"/>
              <w:numPr>
                <w:ilvl w:val="0"/>
                <w:numId w:val="3"/>
              </w:numPr>
              <w:spacing w:before="120"/>
              <w:ind w:left="322" w:hanging="357"/>
              <w:contextualSpacing w:val="0"/>
              <w:jc w:val="center"/>
              <w:rPr>
                <w:rFonts w:ascii="Calibri" w:hAnsi="Calibri" w:cs="Calibri"/>
                <w:sz w:val="22"/>
                <w:szCs w:val="22"/>
              </w:rPr>
            </w:pPr>
            <w:r w:rsidRPr="00CD44AC">
              <w:rPr>
                <w:rFonts w:ascii="Calibri" w:hAnsi="Calibri" w:cs="Calibri"/>
                <w:sz w:val="22"/>
                <w:szCs w:val="22"/>
              </w:rPr>
              <w:t>Commercialisation</w:t>
            </w:r>
            <w:r>
              <w:rPr>
                <w:rFonts w:ascii="Calibri" w:hAnsi="Calibri" w:cs="Calibri"/>
                <w:sz w:val="22"/>
                <w:szCs w:val="22"/>
              </w:rPr>
              <w:t> ;</w:t>
            </w:r>
          </w:p>
          <w:p w14:paraId="73EEFA3A" w14:textId="77777777" w:rsidR="00B47DDD" w:rsidRPr="00CD44AC" w:rsidRDefault="00B47DDD" w:rsidP="004651D3">
            <w:pPr>
              <w:pStyle w:val="Paragraphedeliste"/>
              <w:numPr>
                <w:ilvl w:val="0"/>
                <w:numId w:val="3"/>
              </w:numPr>
              <w:spacing w:before="120"/>
              <w:ind w:left="322" w:hanging="357"/>
              <w:contextualSpacing w:val="0"/>
              <w:jc w:val="center"/>
              <w:rPr>
                <w:rFonts w:ascii="Calibri" w:hAnsi="Calibri" w:cs="Calibri"/>
                <w:sz w:val="22"/>
                <w:szCs w:val="22"/>
              </w:rPr>
            </w:pPr>
            <w:r w:rsidRPr="00CD44AC">
              <w:rPr>
                <w:rFonts w:ascii="Calibri" w:hAnsi="Calibri" w:cs="Calibri"/>
                <w:sz w:val="22"/>
                <w:szCs w:val="22"/>
              </w:rPr>
              <w:t>Visites</w:t>
            </w:r>
            <w:r>
              <w:rPr>
                <w:rFonts w:ascii="Calibri" w:hAnsi="Calibri" w:cs="Calibri"/>
                <w:sz w:val="22"/>
                <w:szCs w:val="22"/>
              </w:rPr>
              <w:t>.</w:t>
            </w:r>
          </w:p>
        </w:tc>
      </w:tr>
      <w:tr w:rsidR="00B47DDD" w14:paraId="4441EC42" w14:textId="77777777" w:rsidTr="004651D3">
        <w:tc>
          <w:tcPr>
            <w:tcW w:w="4531" w:type="dxa"/>
            <w:shd w:val="clear" w:color="auto" w:fill="FFC000"/>
            <w:vAlign w:val="center"/>
          </w:tcPr>
          <w:p w14:paraId="269AF8EF"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t>1</w:t>
            </w:r>
            <w:r w:rsidRPr="007A1442">
              <w:rPr>
                <w:rFonts w:ascii="Calibri" w:hAnsi="Calibri" w:cs="Calibri"/>
                <w:b/>
                <w:bCs/>
                <w:sz w:val="22"/>
                <w:szCs w:val="22"/>
                <w:vertAlign w:val="superscript"/>
              </w:rPr>
              <w:t>er</w:t>
            </w:r>
            <w:r w:rsidRPr="007A1442">
              <w:rPr>
                <w:rFonts w:ascii="Calibri" w:hAnsi="Calibri" w:cs="Calibri"/>
                <w:b/>
                <w:bCs/>
                <w:sz w:val="22"/>
                <w:szCs w:val="22"/>
              </w:rPr>
              <w:t xml:space="preserve"> </w:t>
            </w:r>
            <w:r>
              <w:rPr>
                <w:rFonts w:ascii="Calibri" w:hAnsi="Calibri" w:cs="Calibri"/>
                <w:b/>
                <w:bCs/>
                <w:sz w:val="22"/>
                <w:szCs w:val="22"/>
              </w:rPr>
              <w:t>octobre</w:t>
            </w:r>
            <w:r w:rsidRPr="007A1442">
              <w:rPr>
                <w:rFonts w:ascii="Calibri" w:hAnsi="Calibri" w:cs="Calibri"/>
                <w:b/>
                <w:bCs/>
                <w:sz w:val="22"/>
                <w:szCs w:val="22"/>
              </w:rPr>
              <w:t xml:space="preserve"> 2030 – 1</w:t>
            </w:r>
            <w:r w:rsidRPr="007A1442">
              <w:rPr>
                <w:rFonts w:ascii="Calibri" w:hAnsi="Calibri" w:cs="Calibri"/>
                <w:b/>
                <w:bCs/>
                <w:sz w:val="22"/>
                <w:szCs w:val="22"/>
                <w:vertAlign w:val="superscript"/>
              </w:rPr>
              <w:t>er</w:t>
            </w:r>
            <w:r w:rsidRPr="007A1442">
              <w:rPr>
                <w:rFonts w:ascii="Calibri" w:hAnsi="Calibri" w:cs="Calibri"/>
                <w:b/>
                <w:bCs/>
                <w:sz w:val="22"/>
                <w:szCs w:val="22"/>
              </w:rPr>
              <w:t xml:space="preserve"> </w:t>
            </w:r>
            <w:r>
              <w:rPr>
                <w:rFonts w:ascii="Calibri" w:hAnsi="Calibri" w:cs="Calibri"/>
                <w:b/>
                <w:bCs/>
                <w:sz w:val="22"/>
                <w:szCs w:val="22"/>
              </w:rPr>
              <w:t>janvier</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(3 mois)</w:t>
            </w:r>
          </w:p>
        </w:tc>
        <w:tc>
          <w:tcPr>
            <w:tcW w:w="4531" w:type="dxa"/>
            <w:vAlign w:val="center"/>
          </w:tcPr>
          <w:p w14:paraId="224CA751" w14:textId="77777777" w:rsidR="00B47DDD" w:rsidRPr="002027C7" w:rsidRDefault="00B47DDD" w:rsidP="004651D3">
            <w:pPr>
              <w:pStyle w:val="Paragraphedeliste"/>
              <w:numPr>
                <w:ilvl w:val="0"/>
                <w:numId w:val="3"/>
              </w:numPr>
              <w:spacing w:before="120"/>
              <w:ind w:left="463" w:hanging="357"/>
              <w:contextualSpacing w:val="0"/>
              <w:jc w:val="center"/>
              <w:rPr>
                <w:rFonts w:ascii="Calibri" w:hAnsi="Calibri" w:cs="Calibri"/>
                <w:sz w:val="22"/>
                <w:szCs w:val="22"/>
              </w:rPr>
            </w:pPr>
            <w:r w:rsidRPr="002027C7">
              <w:rPr>
                <w:rFonts w:ascii="Calibri" w:hAnsi="Calibri" w:cs="Calibri"/>
                <w:sz w:val="22"/>
                <w:szCs w:val="22"/>
              </w:rPr>
              <w:t>Réception d’une offre d’achat écrite</w:t>
            </w:r>
            <w:r>
              <w:rPr>
                <w:rFonts w:ascii="Calibri" w:hAnsi="Calibri" w:cs="Calibri"/>
                <w:sz w:val="22"/>
                <w:szCs w:val="22"/>
              </w:rPr>
              <w:t> ;</w:t>
            </w:r>
          </w:p>
          <w:p w14:paraId="71BB94A2" w14:textId="77777777" w:rsidR="00B47DDD" w:rsidRPr="002027C7" w:rsidRDefault="00B47DDD" w:rsidP="004651D3">
            <w:pPr>
              <w:pStyle w:val="Paragraphedeliste"/>
              <w:numPr>
                <w:ilvl w:val="0"/>
                <w:numId w:val="3"/>
              </w:numPr>
              <w:spacing w:before="120"/>
              <w:ind w:left="463" w:hanging="357"/>
              <w:contextualSpacing w:val="0"/>
              <w:jc w:val="center"/>
              <w:rPr>
                <w:rFonts w:ascii="Calibri" w:hAnsi="Calibri" w:cs="Calibri"/>
                <w:sz w:val="22"/>
                <w:szCs w:val="22"/>
              </w:rPr>
            </w:pPr>
            <w:r w:rsidRPr="002027C7">
              <w:rPr>
                <w:rFonts w:ascii="Calibri" w:hAnsi="Calibri" w:cs="Calibri"/>
                <w:sz w:val="22"/>
                <w:szCs w:val="22"/>
              </w:rPr>
              <w:t>Négociations avec le potentiel acheteur</w:t>
            </w:r>
            <w:r>
              <w:rPr>
                <w:rFonts w:ascii="Calibri" w:hAnsi="Calibri" w:cs="Calibri"/>
                <w:sz w:val="22"/>
                <w:szCs w:val="22"/>
              </w:rPr>
              <w:t>.</w:t>
            </w:r>
          </w:p>
        </w:tc>
      </w:tr>
      <w:tr w:rsidR="00B47DDD" w14:paraId="3D1F9F89" w14:textId="77777777" w:rsidTr="004651D3">
        <w:tc>
          <w:tcPr>
            <w:tcW w:w="4531" w:type="dxa"/>
            <w:shd w:val="clear" w:color="auto" w:fill="FFC000"/>
            <w:vAlign w:val="center"/>
          </w:tcPr>
          <w:p w14:paraId="30117EE9"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t xml:space="preserve">15 </w:t>
            </w:r>
            <w:r>
              <w:rPr>
                <w:rFonts w:ascii="Calibri" w:hAnsi="Calibri" w:cs="Calibri"/>
                <w:b/>
                <w:bCs/>
                <w:sz w:val="22"/>
                <w:szCs w:val="22"/>
              </w:rPr>
              <w:t>octobre</w:t>
            </w:r>
            <w:r w:rsidRPr="007A1442">
              <w:rPr>
                <w:rFonts w:ascii="Calibri" w:hAnsi="Calibri" w:cs="Calibri"/>
                <w:b/>
                <w:bCs/>
                <w:sz w:val="22"/>
                <w:szCs w:val="22"/>
              </w:rPr>
              <w:t xml:space="preserve"> 2030 – 15 </w:t>
            </w:r>
            <w:r>
              <w:rPr>
                <w:rFonts w:ascii="Calibri" w:hAnsi="Calibri" w:cs="Calibri"/>
                <w:b/>
                <w:bCs/>
                <w:sz w:val="22"/>
                <w:szCs w:val="22"/>
              </w:rPr>
              <w:t>janvier</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(3 mois)</w:t>
            </w:r>
          </w:p>
        </w:tc>
        <w:tc>
          <w:tcPr>
            <w:tcW w:w="4531" w:type="dxa"/>
            <w:vAlign w:val="center"/>
          </w:tcPr>
          <w:p w14:paraId="2A3E8FCE" w14:textId="77777777" w:rsidR="00B47DDD" w:rsidRPr="007A1442" w:rsidRDefault="00B47DDD" w:rsidP="004651D3">
            <w:pPr>
              <w:jc w:val="center"/>
              <w:rPr>
                <w:rFonts w:ascii="Calibri" w:hAnsi="Calibri" w:cs="Calibri"/>
                <w:sz w:val="22"/>
                <w:szCs w:val="22"/>
              </w:rPr>
            </w:pPr>
            <w:r w:rsidRPr="007A1442">
              <w:rPr>
                <w:rFonts w:ascii="Calibri" w:hAnsi="Calibri" w:cs="Calibri"/>
                <w:sz w:val="22"/>
                <w:szCs w:val="22"/>
              </w:rPr>
              <w:t>Signature d’un compromis de vente / promesse de vente</w:t>
            </w:r>
            <w:r>
              <w:rPr>
                <w:rFonts w:ascii="Calibri" w:hAnsi="Calibri" w:cs="Calibri"/>
                <w:sz w:val="22"/>
                <w:szCs w:val="22"/>
              </w:rPr>
              <w:t>.</w:t>
            </w:r>
          </w:p>
        </w:tc>
      </w:tr>
      <w:tr w:rsidR="00B47DDD" w14:paraId="1799D3A0" w14:textId="77777777" w:rsidTr="004651D3">
        <w:tc>
          <w:tcPr>
            <w:tcW w:w="4531" w:type="dxa"/>
            <w:shd w:val="clear" w:color="auto" w:fill="FFC000"/>
            <w:vAlign w:val="center"/>
          </w:tcPr>
          <w:p w14:paraId="01383279"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t xml:space="preserve">15 </w:t>
            </w:r>
            <w:r>
              <w:rPr>
                <w:rFonts w:ascii="Calibri" w:hAnsi="Calibri" w:cs="Calibri"/>
                <w:b/>
                <w:bCs/>
                <w:sz w:val="22"/>
                <w:szCs w:val="22"/>
              </w:rPr>
              <w:t>janvier</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 15 </w:t>
            </w:r>
            <w:r>
              <w:rPr>
                <w:rFonts w:ascii="Calibri" w:hAnsi="Calibri" w:cs="Calibri"/>
                <w:b/>
                <w:bCs/>
                <w:sz w:val="22"/>
                <w:szCs w:val="22"/>
              </w:rPr>
              <w:t>février</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(1 mois)</w:t>
            </w:r>
          </w:p>
        </w:tc>
        <w:tc>
          <w:tcPr>
            <w:tcW w:w="4531" w:type="dxa"/>
            <w:vAlign w:val="center"/>
          </w:tcPr>
          <w:p w14:paraId="63F50E6B" w14:textId="77777777" w:rsidR="00B47DDD" w:rsidRDefault="00B47DDD" w:rsidP="004651D3">
            <w:pPr>
              <w:pStyle w:val="Paragraphedeliste"/>
              <w:numPr>
                <w:ilvl w:val="0"/>
                <w:numId w:val="3"/>
              </w:numPr>
              <w:spacing w:before="120"/>
              <w:ind w:left="463" w:hanging="357"/>
              <w:contextualSpacing w:val="0"/>
              <w:jc w:val="center"/>
              <w:rPr>
                <w:rFonts w:ascii="Calibri" w:hAnsi="Calibri" w:cs="Calibri"/>
                <w:sz w:val="22"/>
                <w:szCs w:val="22"/>
              </w:rPr>
            </w:pPr>
            <w:r>
              <w:rPr>
                <w:rFonts w:ascii="Calibri" w:hAnsi="Calibri" w:cs="Calibri"/>
                <w:sz w:val="22"/>
                <w:szCs w:val="22"/>
              </w:rPr>
              <w:t>Obtention du financement de l’acheteur ;</w:t>
            </w:r>
          </w:p>
          <w:p w14:paraId="4B36FD22" w14:textId="77777777" w:rsidR="00B47DDD" w:rsidRPr="007A1442" w:rsidRDefault="00B47DDD" w:rsidP="004651D3">
            <w:pPr>
              <w:pStyle w:val="Paragraphedeliste"/>
              <w:numPr>
                <w:ilvl w:val="0"/>
                <w:numId w:val="3"/>
              </w:numPr>
              <w:spacing w:before="120"/>
              <w:ind w:left="463" w:hanging="357"/>
              <w:contextualSpacing w:val="0"/>
              <w:jc w:val="center"/>
              <w:rPr>
                <w:rFonts w:ascii="Calibri" w:hAnsi="Calibri" w:cs="Calibri"/>
                <w:sz w:val="22"/>
                <w:szCs w:val="22"/>
              </w:rPr>
            </w:pPr>
            <w:r>
              <w:rPr>
                <w:rFonts w:ascii="Calibri" w:hAnsi="Calibri" w:cs="Calibri"/>
                <w:sz w:val="22"/>
                <w:szCs w:val="22"/>
              </w:rPr>
              <w:t>Levée de diverses conditions suspensives (purge des délais de préemption, urbanisme etc.).</w:t>
            </w:r>
          </w:p>
        </w:tc>
      </w:tr>
      <w:tr w:rsidR="00B47DDD" w14:paraId="0FBC57B1" w14:textId="77777777" w:rsidTr="004651D3">
        <w:tc>
          <w:tcPr>
            <w:tcW w:w="4531" w:type="dxa"/>
            <w:shd w:val="clear" w:color="auto" w:fill="FFC000"/>
            <w:vAlign w:val="center"/>
          </w:tcPr>
          <w:p w14:paraId="0358658A" w14:textId="77777777" w:rsidR="00B47DDD" w:rsidRPr="007A1442" w:rsidRDefault="00B47DDD" w:rsidP="004651D3">
            <w:pPr>
              <w:jc w:val="center"/>
              <w:rPr>
                <w:rFonts w:ascii="Calibri" w:hAnsi="Calibri" w:cs="Calibri"/>
                <w:b/>
                <w:bCs/>
                <w:sz w:val="22"/>
                <w:szCs w:val="22"/>
              </w:rPr>
            </w:pPr>
            <w:r w:rsidRPr="007A1442">
              <w:rPr>
                <w:rFonts w:ascii="Calibri" w:hAnsi="Calibri" w:cs="Calibri"/>
                <w:b/>
                <w:bCs/>
                <w:sz w:val="22"/>
                <w:szCs w:val="22"/>
              </w:rPr>
              <w:lastRenderedPageBreak/>
              <w:t xml:space="preserve">15 </w:t>
            </w:r>
            <w:r>
              <w:rPr>
                <w:rFonts w:ascii="Calibri" w:hAnsi="Calibri" w:cs="Calibri"/>
                <w:b/>
                <w:bCs/>
                <w:sz w:val="22"/>
                <w:szCs w:val="22"/>
              </w:rPr>
              <w:t>février</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 15 </w:t>
            </w:r>
            <w:r>
              <w:rPr>
                <w:rFonts w:ascii="Calibri" w:hAnsi="Calibri" w:cs="Calibri"/>
                <w:b/>
                <w:bCs/>
                <w:sz w:val="22"/>
                <w:szCs w:val="22"/>
              </w:rPr>
              <w:t>mars</w:t>
            </w:r>
            <w:r w:rsidRPr="007A1442">
              <w:rPr>
                <w:rFonts w:ascii="Calibri" w:hAnsi="Calibri" w:cs="Calibri"/>
                <w:b/>
                <w:bCs/>
                <w:sz w:val="22"/>
                <w:szCs w:val="22"/>
              </w:rPr>
              <w:t xml:space="preserve"> 203</w:t>
            </w:r>
            <w:r>
              <w:rPr>
                <w:rFonts w:ascii="Calibri" w:hAnsi="Calibri" w:cs="Calibri"/>
                <w:b/>
                <w:bCs/>
                <w:sz w:val="22"/>
                <w:szCs w:val="22"/>
              </w:rPr>
              <w:t>1</w:t>
            </w:r>
            <w:r w:rsidRPr="007A1442">
              <w:rPr>
                <w:rFonts w:ascii="Calibri" w:hAnsi="Calibri" w:cs="Calibri"/>
                <w:b/>
                <w:bCs/>
                <w:sz w:val="22"/>
                <w:szCs w:val="22"/>
              </w:rPr>
              <w:t xml:space="preserve"> (1 mois</w:t>
            </w:r>
            <w:r>
              <w:rPr>
                <w:rFonts w:ascii="Calibri" w:hAnsi="Calibri" w:cs="Calibri"/>
                <w:b/>
                <w:bCs/>
                <w:sz w:val="22"/>
                <w:szCs w:val="22"/>
              </w:rPr>
              <w:t>)</w:t>
            </w:r>
          </w:p>
        </w:tc>
        <w:tc>
          <w:tcPr>
            <w:tcW w:w="4531" w:type="dxa"/>
            <w:vAlign w:val="center"/>
          </w:tcPr>
          <w:p w14:paraId="454C0082" w14:textId="39F02B72" w:rsidR="00B47DDD" w:rsidRPr="00F563B7" w:rsidRDefault="00B47DDD" w:rsidP="002611C7">
            <w:pPr>
              <w:jc w:val="center"/>
              <w:rPr>
                <w:rFonts w:ascii="Calibri" w:hAnsi="Calibri" w:cs="Calibri"/>
                <w:sz w:val="22"/>
                <w:szCs w:val="22"/>
              </w:rPr>
            </w:pPr>
            <w:r w:rsidRPr="00F563B7">
              <w:rPr>
                <w:rFonts w:ascii="Calibri" w:hAnsi="Calibri" w:cs="Calibri"/>
                <w:sz w:val="22"/>
                <w:szCs w:val="22"/>
              </w:rPr>
              <w:t>Signature de l’acte authentique de vente</w:t>
            </w:r>
            <w:r w:rsidR="00F563B7" w:rsidRPr="00F563B7">
              <w:rPr>
                <w:rFonts w:ascii="Calibri" w:hAnsi="Calibri" w:cs="Calibri"/>
                <w:sz w:val="22"/>
                <w:szCs w:val="22"/>
              </w:rPr>
              <w:t xml:space="preserve"> sous condition suspensive de mainlevée</w:t>
            </w:r>
            <w:r w:rsidR="00F563B7">
              <w:rPr>
                <w:rFonts w:ascii="Calibri" w:hAnsi="Calibri" w:cs="Calibri"/>
                <w:sz w:val="22"/>
                <w:szCs w:val="22"/>
              </w:rPr>
              <w:t>.</w:t>
            </w:r>
          </w:p>
        </w:tc>
      </w:tr>
      <w:tr w:rsidR="00B47DDD" w14:paraId="23C22408" w14:textId="77777777" w:rsidTr="004651D3">
        <w:tc>
          <w:tcPr>
            <w:tcW w:w="4531" w:type="dxa"/>
            <w:shd w:val="clear" w:color="auto" w:fill="FFC000"/>
            <w:vAlign w:val="center"/>
          </w:tcPr>
          <w:p w14:paraId="477CDA52" w14:textId="3BBEE728" w:rsidR="00B47DDD" w:rsidRPr="007A1442" w:rsidRDefault="00F563B7" w:rsidP="004651D3">
            <w:pPr>
              <w:jc w:val="center"/>
              <w:rPr>
                <w:rFonts w:ascii="Calibri" w:hAnsi="Calibri" w:cs="Calibri"/>
                <w:b/>
                <w:bCs/>
                <w:sz w:val="22"/>
                <w:szCs w:val="22"/>
              </w:rPr>
            </w:pPr>
            <w:r>
              <w:rPr>
                <w:rFonts w:ascii="Calibri" w:hAnsi="Calibri" w:cs="Calibri"/>
                <w:b/>
                <w:bCs/>
                <w:sz w:val="22"/>
                <w:szCs w:val="22"/>
              </w:rPr>
              <w:t xml:space="preserve">15 mars 2031 - </w:t>
            </w:r>
            <w:r w:rsidR="00B47DDD">
              <w:rPr>
                <w:rFonts w:ascii="Calibri" w:hAnsi="Calibri" w:cs="Calibri"/>
                <w:b/>
                <w:bCs/>
                <w:sz w:val="22"/>
                <w:szCs w:val="22"/>
              </w:rPr>
              <w:t>31</w:t>
            </w:r>
            <w:r w:rsidR="00B47DDD" w:rsidRPr="007A1442">
              <w:rPr>
                <w:rFonts w:ascii="Calibri" w:hAnsi="Calibri" w:cs="Calibri"/>
                <w:b/>
                <w:bCs/>
                <w:sz w:val="22"/>
                <w:szCs w:val="22"/>
              </w:rPr>
              <w:t xml:space="preserve"> </w:t>
            </w:r>
            <w:r w:rsidR="00B47DDD">
              <w:rPr>
                <w:rFonts w:ascii="Calibri" w:hAnsi="Calibri" w:cs="Calibri"/>
                <w:b/>
                <w:bCs/>
                <w:sz w:val="22"/>
                <w:szCs w:val="22"/>
              </w:rPr>
              <w:t>mars</w:t>
            </w:r>
            <w:r w:rsidR="00B47DDD" w:rsidRPr="007A1442">
              <w:rPr>
                <w:rFonts w:ascii="Calibri" w:hAnsi="Calibri" w:cs="Calibri"/>
                <w:b/>
                <w:bCs/>
                <w:sz w:val="22"/>
                <w:szCs w:val="22"/>
              </w:rPr>
              <w:t xml:space="preserve"> 203</w:t>
            </w:r>
            <w:r w:rsidR="00B47DDD">
              <w:rPr>
                <w:rFonts w:ascii="Calibri" w:hAnsi="Calibri" w:cs="Calibri"/>
                <w:b/>
                <w:bCs/>
                <w:sz w:val="22"/>
                <w:szCs w:val="22"/>
              </w:rPr>
              <w:t>1</w:t>
            </w:r>
            <w:r>
              <w:rPr>
                <w:rFonts w:ascii="Calibri" w:hAnsi="Calibri" w:cs="Calibri"/>
                <w:b/>
                <w:bCs/>
                <w:sz w:val="22"/>
                <w:szCs w:val="22"/>
              </w:rPr>
              <w:t xml:space="preserve"> (15 jours)</w:t>
            </w:r>
          </w:p>
        </w:tc>
        <w:tc>
          <w:tcPr>
            <w:tcW w:w="4531" w:type="dxa"/>
            <w:vAlign w:val="center"/>
          </w:tcPr>
          <w:p w14:paraId="5E3F4B08" w14:textId="77777777" w:rsidR="00F563B7" w:rsidRDefault="00F563B7" w:rsidP="00F563B7">
            <w:pPr>
              <w:pStyle w:val="Paragraphedeliste"/>
              <w:numPr>
                <w:ilvl w:val="0"/>
                <w:numId w:val="3"/>
              </w:numPr>
              <w:spacing w:before="120"/>
              <w:ind w:left="463" w:hanging="357"/>
              <w:contextualSpacing w:val="0"/>
              <w:jc w:val="center"/>
              <w:rPr>
                <w:rFonts w:ascii="Calibri" w:hAnsi="Calibri" w:cs="Calibri"/>
                <w:sz w:val="22"/>
                <w:szCs w:val="22"/>
              </w:rPr>
            </w:pPr>
            <w:r>
              <w:rPr>
                <w:rFonts w:ascii="Calibri" w:hAnsi="Calibri" w:cs="Calibri"/>
                <w:sz w:val="22"/>
                <w:szCs w:val="22"/>
              </w:rPr>
              <w:t>Paiement du prix de vente ;</w:t>
            </w:r>
          </w:p>
          <w:p w14:paraId="218ABA51" w14:textId="3E985685" w:rsidR="00F563B7" w:rsidRDefault="00F563B7" w:rsidP="00F563B7">
            <w:pPr>
              <w:pStyle w:val="Paragraphedeliste"/>
              <w:numPr>
                <w:ilvl w:val="0"/>
                <w:numId w:val="3"/>
              </w:numPr>
              <w:spacing w:before="120"/>
              <w:ind w:left="463" w:hanging="357"/>
              <w:contextualSpacing w:val="0"/>
              <w:jc w:val="center"/>
              <w:rPr>
                <w:rFonts w:ascii="Calibri" w:hAnsi="Calibri" w:cs="Calibri"/>
                <w:sz w:val="22"/>
                <w:szCs w:val="22"/>
              </w:rPr>
            </w:pPr>
            <w:r>
              <w:rPr>
                <w:rFonts w:ascii="Calibri" w:hAnsi="Calibri" w:cs="Calibri"/>
                <w:sz w:val="22"/>
                <w:szCs w:val="22"/>
              </w:rPr>
              <w:t>Mainlevée de l’hypothèque ;</w:t>
            </w:r>
          </w:p>
          <w:p w14:paraId="3C77A047" w14:textId="5B5911E9" w:rsidR="00F563B7" w:rsidRDefault="00F563B7" w:rsidP="00F563B7">
            <w:pPr>
              <w:pStyle w:val="Paragraphedeliste"/>
              <w:numPr>
                <w:ilvl w:val="0"/>
                <w:numId w:val="3"/>
              </w:numPr>
              <w:spacing w:before="120"/>
              <w:contextualSpacing w:val="0"/>
              <w:jc w:val="center"/>
              <w:rPr>
                <w:rFonts w:ascii="Calibri" w:hAnsi="Calibri" w:cs="Calibri"/>
                <w:sz w:val="22"/>
                <w:szCs w:val="22"/>
              </w:rPr>
            </w:pPr>
            <w:r w:rsidRPr="00F563B7">
              <w:rPr>
                <w:rFonts w:ascii="Calibri" w:hAnsi="Calibri" w:cs="Calibri"/>
                <w:sz w:val="22"/>
                <w:szCs w:val="22"/>
              </w:rPr>
              <w:t>Remise des clés</w:t>
            </w:r>
            <w:r>
              <w:rPr>
                <w:rFonts w:ascii="Calibri" w:hAnsi="Calibri" w:cs="Calibri"/>
                <w:sz w:val="22"/>
                <w:szCs w:val="22"/>
              </w:rPr>
              <w:t> ;</w:t>
            </w:r>
          </w:p>
          <w:p w14:paraId="1BD05E66" w14:textId="4A2E34DC" w:rsidR="00B47DDD" w:rsidRPr="00F563B7" w:rsidRDefault="00565DB1" w:rsidP="002611C7">
            <w:pPr>
              <w:pStyle w:val="Paragraphedeliste"/>
              <w:numPr>
                <w:ilvl w:val="0"/>
                <w:numId w:val="3"/>
              </w:numPr>
              <w:spacing w:before="120"/>
              <w:contextualSpacing w:val="0"/>
              <w:jc w:val="center"/>
              <w:rPr>
                <w:rFonts w:ascii="Calibri" w:hAnsi="Calibri" w:cs="Calibri"/>
                <w:sz w:val="22"/>
                <w:szCs w:val="22"/>
              </w:rPr>
            </w:pPr>
            <w:r>
              <w:rPr>
                <w:rFonts w:ascii="Calibri" w:hAnsi="Calibri" w:cs="Calibri"/>
                <w:sz w:val="22"/>
                <w:szCs w:val="22"/>
              </w:rPr>
              <w:t>P</w:t>
            </w:r>
            <w:r w:rsidR="00B47DDD" w:rsidRPr="00F563B7">
              <w:rPr>
                <w:rFonts w:ascii="Calibri" w:hAnsi="Calibri" w:cs="Calibri"/>
                <w:sz w:val="22"/>
                <w:szCs w:val="22"/>
              </w:rPr>
              <w:t>aiement de la dernière annuité</w:t>
            </w:r>
            <w:r>
              <w:rPr>
                <w:rFonts w:ascii="Calibri" w:hAnsi="Calibri" w:cs="Calibri"/>
                <w:sz w:val="22"/>
                <w:szCs w:val="22"/>
              </w:rPr>
              <w:t xml:space="preserve"> du plan, le cas échéant par anticipation</w:t>
            </w:r>
            <w:r w:rsidR="00B47DDD" w:rsidRPr="00F563B7">
              <w:rPr>
                <w:rFonts w:ascii="Calibri" w:hAnsi="Calibri" w:cs="Calibri"/>
                <w:sz w:val="22"/>
                <w:szCs w:val="22"/>
              </w:rPr>
              <w:t>.</w:t>
            </w:r>
          </w:p>
        </w:tc>
      </w:tr>
    </w:tbl>
    <w:p w14:paraId="39998346" w14:textId="77777777" w:rsidR="0025492F" w:rsidRDefault="0025492F" w:rsidP="003967F8">
      <w:pPr>
        <w:jc w:val="both"/>
        <w:rPr>
          <w:rFonts w:ascii="Calibri" w:hAnsi="Calibri" w:cs="Calibri"/>
          <w:sz w:val="22"/>
          <w:szCs w:val="22"/>
        </w:rPr>
      </w:pPr>
    </w:p>
    <w:p w14:paraId="49B4A98E" w14:textId="69AEC305" w:rsidR="005815A0" w:rsidRDefault="005815A0" w:rsidP="005815A0">
      <w:pPr>
        <w:jc w:val="both"/>
        <w:rPr>
          <w:rFonts w:ascii="Calibri" w:hAnsi="Calibri" w:cs="Calibri"/>
          <w:sz w:val="22"/>
          <w:szCs w:val="22"/>
        </w:rPr>
      </w:pPr>
      <w:r w:rsidRPr="00663FF6">
        <w:rPr>
          <w:rFonts w:ascii="Calibri" w:hAnsi="Calibri" w:cs="Calibri"/>
          <w:sz w:val="22"/>
          <w:szCs w:val="22"/>
        </w:rPr>
        <w:t>Cet engagement est matérialisé par</w:t>
      </w:r>
      <w:r>
        <w:rPr>
          <w:rFonts w:ascii="Calibri" w:hAnsi="Calibri" w:cs="Calibri"/>
          <w:sz w:val="22"/>
          <w:szCs w:val="22"/>
        </w:rPr>
        <w:t> :</w:t>
      </w:r>
    </w:p>
    <w:p w14:paraId="32D99437" w14:textId="765E70A0" w:rsidR="005815A0" w:rsidRDefault="005815A0" w:rsidP="002611C7">
      <w:pPr>
        <w:pStyle w:val="Paragraphedeliste"/>
        <w:numPr>
          <w:ilvl w:val="0"/>
          <w:numId w:val="3"/>
        </w:numPr>
        <w:spacing w:before="120"/>
        <w:ind w:left="714" w:hanging="357"/>
        <w:contextualSpacing w:val="0"/>
        <w:jc w:val="both"/>
        <w:rPr>
          <w:rFonts w:ascii="Calibri" w:hAnsi="Calibri" w:cs="Calibri"/>
          <w:sz w:val="22"/>
          <w:szCs w:val="22"/>
        </w:rPr>
      </w:pPr>
      <w:r>
        <w:rPr>
          <w:rFonts w:ascii="Calibri" w:hAnsi="Calibri" w:cs="Calibri"/>
          <w:sz w:val="22"/>
          <w:szCs w:val="22"/>
        </w:rPr>
        <w:t>L</w:t>
      </w:r>
      <w:r w:rsidRPr="00AB4266">
        <w:rPr>
          <w:rFonts w:ascii="Calibri" w:hAnsi="Calibri" w:cs="Calibri"/>
          <w:sz w:val="22"/>
          <w:szCs w:val="22"/>
        </w:rPr>
        <w:t>a signature par Madame Sindy Lévy</w:t>
      </w:r>
      <w:r>
        <w:rPr>
          <w:rFonts w:ascii="Calibri" w:hAnsi="Calibri" w:cs="Calibri"/>
          <w:sz w:val="22"/>
          <w:szCs w:val="22"/>
        </w:rPr>
        <w:t xml:space="preserve"> en sa qualité de représentante de la société HFI, par l’intermédiaire de la société Sindy Management.</w:t>
      </w:r>
    </w:p>
    <w:p w14:paraId="5B7FEA6E" w14:textId="3DFB69C2" w:rsidR="003B4596" w:rsidRPr="003B4596" w:rsidRDefault="000D2482" w:rsidP="003B4596">
      <w:pPr>
        <w:pStyle w:val="Paragraphedeliste"/>
        <w:numPr>
          <w:ilvl w:val="0"/>
          <w:numId w:val="3"/>
        </w:numPr>
        <w:spacing w:before="120"/>
        <w:ind w:left="714" w:hanging="357"/>
        <w:contextualSpacing w:val="0"/>
        <w:jc w:val="both"/>
        <w:rPr>
          <w:rFonts w:ascii="Calibri" w:hAnsi="Calibri" w:cs="Calibri"/>
          <w:sz w:val="22"/>
          <w:szCs w:val="22"/>
        </w:rPr>
      </w:pPr>
      <w:r>
        <w:rPr>
          <w:rFonts w:ascii="Calibri" w:hAnsi="Calibri" w:cs="Calibri"/>
          <w:sz w:val="22"/>
          <w:szCs w:val="22"/>
        </w:rPr>
        <w:t xml:space="preserve">La signature de Madame Sindy Lévy en qualité de Gérante de la société SCI Tolbiac. </w:t>
      </w:r>
    </w:p>
    <w:p w14:paraId="2C129809" w14:textId="77777777" w:rsidR="00AB4266" w:rsidRDefault="00AB4266" w:rsidP="007A1442">
      <w:pPr>
        <w:jc w:val="both"/>
        <w:rPr>
          <w:rFonts w:ascii="Calibri" w:hAnsi="Calibri" w:cs="Calibri"/>
          <w:sz w:val="22"/>
          <w:szCs w:val="22"/>
        </w:rPr>
      </w:pPr>
    </w:p>
    <w:p w14:paraId="19C97C24" w14:textId="6CB88ABA" w:rsidR="00B37087" w:rsidRPr="0039174E" w:rsidRDefault="00B37087" w:rsidP="00B37087">
      <w:pPr>
        <w:jc w:val="both"/>
        <w:rPr>
          <w:rFonts w:ascii="Calibri" w:hAnsi="Calibri" w:cs="Calibri"/>
          <w:sz w:val="22"/>
          <w:szCs w:val="22"/>
        </w:rPr>
      </w:pPr>
      <w:r w:rsidRPr="0039174E">
        <w:rPr>
          <w:rFonts w:ascii="Calibri" w:hAnsi="Calibri" w:cs="Calibri"/>
          <w:sz w:val="22"/>
          <w:szCs w:val="22"/>
        </w:rPr>
        <w:t>Dans le cadre de l’opération de refinancement de la Société, et, le cas échéant, dans l’hypothèse où une cession</w:t>
      </w:r>
      <w:r>
        <w:rPr>
          <w:rFonts w:ascii="Calibri" w:hAnsi="Calibri" w:cs="Calibri"/>
          <w:sz w:val="22"/>
          <w:szCs w:val="22"/>
        </w:rPr>
        <w:t xml:space="preserve"> de l’actif </w:t>
      </w:r>
      <w:r w:rsidRPr="0039174E">
        <w:rPr>
          <w:rFonts w:ascii="Calibri" w:hAnsi="Calibri" w:cs="Calibri"/>
          <w:sz w:val="22"/>
          <w:szCs w:val="22"/>
        </w:rPr>
        <w:t xml:space="preserve">de la Société interviendrait à défaut de réalisation dudit refinancement, </w:t>
      </w:r>
      <w:r w:rsidR="004879AF">
        <w:rPr>
          <w:rFonts w:ascii="Calibri" w:hAnsi="Calibri" w:cs="Calibri"/>
          <w:sz w:val="22"/>
          <w:szCs w:val="22"/>
        </w:rPr>
        <w:t xml:space="preserve">Madame Sindy Levy en sa qualité de </w:t>
      </w:r>
      <w:r w:rsidR="00567373">
        <w:rPr>
          <w:rFonts w:ascii="Calibri" w:hAnsi="Calibri" w:cs="Calibri"/>
          <w:sz w:val="22"/>
          <w:szCs w:val="22"/>
        </w:rPr>
        <w:t xml:space="preserve">Présidente de </w:t>
      </w:r>
      <w:r w:rsidR="00331230">
        <w:rPr>
          <w:rFonts w:ascii="Calibri" w:hAnsi="Calibri" w:cs="Calibri"/>
          <w:sz w:val="22"/>
          <w:szCs w:val="22"/>
        </w:rPr>
        <w:t>la société HFI</w:t>
      </w:r>
      <w:r w:rsidRPr="0039174E">
        <w:rPr>
          <w:rFonts w:ascii="Calibri" w:hAnsi="Calibri" w:cs="Calibri"/>
          <w:sz w:val="22"/>
          <w:szCs w:val="22"/>
        </w:rPr>
        <w:t xml:space="preserve"> déclare faire son affaire personnelle de l’existence, de la portée et des conséquences de toute stipulation des statuts de la société susceptible de constituer un obstacle, une condition ou une limitation à la réalisation de ces opérations.</w:t>
      </w:r>
    </w:p>
    <w:p w14:paraId="61AC3530" w14:textId="77777777" w:rsidR="00B37087" w:rsidRPr="0039174E" w:rsidRDefault="00B37087" w:rsidP="00B37087">
      <w:pPr>
        <w:jc w:val="both"/>
        <w:rPr>
          <w:rFonts w:ascii="Calibri" w:hAnsi="Calibri" w:cs="Calibri"/>
          <w:sz w:val="22"/>
          <w:szCs w:val="22"/>
        </w:rPr>
      </w:pPr>
    </w:p>
    <w:p w14:paraId="2681508D" w14:textId="77777777" w:rsidR="00B37087" w:rsidRPr="0039174E" w:rsidRDefault="00B37087" w:rsidP="00B37087">
      <w:pPr>
        <w:jc w:val="both"/>
        <w:rPr>
          <w:rFonts w:ascii="Calibri" w:hAnsi="Calibri" w:cs="Calibri"/>
          <w:sz w:val="22"/>
          <w:szCs w:val="22"/>
        </w:rPr>
      </w:pPr>
      <w:r w:rsidRPr="0039174E">
        <w:rPr>
          <w:rFonts w:ascii="Calibri" w:hAnsi="Calibri" w:cs="Calibri"/>
          <w:sz w:val="22"/>
          <w:szCs w:val="22"/>
        </w:rPr>
        <w:t>Elle supportera seule l’ensemble des conséquences juridiques, financières ou procédurales résultant de l’application de ces stipulations statutaires et ce sans recours possible à l’encontre des organes de la procédure.</w:t>
      </w:r>
    </w:p>
    <w:p w14:paraId="62A973B9" w14:textId="77777777" w:rsidR="00B37087" w:rsidRDefault="00B37087" w:rsidP="007A1442">
      <w:pPr>
        <w:jc w:val="both"/>
        <w:rPr>
          <w:rFonts w:ascii="Calibri" w:hAnsi="Calibri" w:cs="Calibri"/>
          <w:sz w:val="22"/>
          <w:szCs w:val="22"/>
        </w:rPr>
      </w:pPr>
    </w:p>
    <w:p w14:paraId="5D18E7C8" w14:textId="6E94EC26" w:rsidR="00AB4266" w:rsidRDefault="00AB4266" w:rsidP="00AB4266">
      <w:pPr>
        <w:pStyle w:val="Paragraphedeliste"/>
        <w:numPr>
          <w:ilvl w:val="1"/>
          <w:numId w:val="9"/>
        </w:numPr>
        <w:jc w:val="both"/>
        <w:rPr>
          <w:rFonts w:ascii="Calibri" w:hAnsi="Calibri" w:cs="Calibri"/>
          <w:b/>
          <w:bCs/>
          <w:sz w:val="22"/>
          <w:szCs w:val="22"/>
          <w:u w:val="single"/>
        </w:rPr>
      </w:pPr>
      <w:r>
        <w:rPr>
          <w:rFonts w:ascii="Calibri" w:hAnsi="Calibri" w:cs="Calibri"/>
          <w:b/>
          <w:bCs/>
          <w:sz w:val="22"/>
          <w:szCs w:val="22"/>
          <w:u w:val="single"/>
        </w:rPr>
        <w:t>Autres engagements de l’actionnaire</w:t>
      </w:r>
    </w:p>
    <w:p w14:paraId="6E24EB7B" w14:textId="77777777" w:rsidR="00AB4266" w:rsidRDefault="00AB4266" w:rsidP="007A1442">
      <w:pPr>
        <w:jc w:val="both"/>
        <w:rPr>
          <w:rFonts w:ascii="Calibri" w:hAnsi="Calibri" w:cs="Calibri"/>
          <w:sz w:val="22"/>
          <w:szCs w:val="22"/>
        </w:rPr>
      </w:pPr>
    </w:p>
    <w:p w14:paraId="1D07BAE3" w14:textId="5A5AAFA3" w:rsidR="00AB4266" w:rsidRDefault="00AB4266" w:rsidP="000B3136">
      <w:pPr>
        <w:jc w:val="both"/>
        <w:rPr>
          <w:rFonts w:ascii="Calibri" w:hAnsi="Calibri" w:cs="Calibri"/>
          <w:sz w:val="22"/>
          <w:szCs w:val="22"/>
        </w:rPr>
      </w:pPr>
      <w:r w:rsidRPr="00AA5855">
        <w:rPr>
          <w:rFonts w:ascii="Calibri" w:hAnsi="Calibri" w:cs="Calibri"/>
          <w:bCs/>
          <w:sz w:val="22"/>
          <w:szCs w:val="22"/>
        </w:rPr>
        <w:t>Aux fins de garantir la bonne exécution du plan de redressement judiciaire,</w:t>
      </w:r>
      <w:r w:rsidRPr="00AB4266">
        <w:rPr>
          <w:rFonts w:ascii="Calibri" w:hAnsi="Calibri" w:cs="Calibri"/>
          <w:sz w:val="22"/>
          <w:szCs w:val="22"/>
        </w:rPr>
        <w:t xml:space="preserve"> </w:t>
      </w:r>
      <w:r>
        <w:rPr>
          <w:rFonts w:ascii="Calibri" w:hAnsi="Calibri" w:cs="Calibri"/>
          <w:sz w:val="22"/>
          <w:szCs w:val="22"/>
        </w:rPr>
        <w:t>l</w:t>
      </w:r>
      <w:r w:rsidRPr="007A1442">
        <w:rPr>
          <w:rFonts w:ascii="Calibri" w:hAnsi="Calibri" w:cs="Calibri"/>
          <w:sz w:val="22"/>
          <w:szCs w:val="22"/>
        </w:rPr>
        <w:t>’a</w:t>
      </w:r>
      <w:r w:rsidR="009A4234">
        <w:rPr>
          <w:rFonts w:ascii="Calibri" w:hAnsi="Calibri" w:cs="Calibri"/>
          <w:sz w:val="22"/>
          <w:szCs w:val="22"/>
        </w:rPr>
        <w:t>ssocié</w:t>
      </w:r>
      <w:r>
        <w:rPr>
          <w:rFonts w:ascii="Calibri" w:hAnsi="Calibri" w:cs="Calibri"/>
          <w:sz w:val="22"/>
          <w:szCs w:val="22"/>
        </w:rPr>
        <w:t xml:space="preserve"> </w:t>
      </w:r>
      <w:r w:rsidRPr="007A1442">
        <w:rPr>
          <w:rFonts w:ascii="Calibri" w:hAnsi="Calibri" w:cs="Calibri"/>
          <w:sz w:val="22"/>
          <w:szCs w:val="22"/>
        </w:rPr>
        <w:t>de la Société</w:t>
      </w:r>
      <w:r>
        <w:rPr>
          <w:rFonts w:ascii="Calibri" w:hAnsi="Calibri" w:cs="Calibri"/>
          <w:sz w:val="22"/>
          <w:szCs w:val="22"/>
        </w:rPr>
        <w:t>, la société HFI, s’engage :</w:t>
      </w:r>
    </w:p>
    <w:p w14:paraId="4A973A71" w14:textId="77777777" w:rsidR="002F5CA1" w:rsidRDefault="002F5CA1" w:rsidP="000B3136">
      <w:pPr>
        <w:jc w:val="both"/>
        <w:rPr>
          <w:rFonts w:ascii="Calibri" w:hAnsi="Calibri" w:cs="Calibri"/>
          <w:sz w:val="22"/>
          <w:szCs w:val="22"/>
        </w:rPr>
      </w:pPr>
    </w:p>
    <w:p w14:paraId="426B87A8" w14:textId="77777777" w:rsidR="002F5CA1" w:rsidRPr="005507A2" w:rsidRDefault="002F5CA1" w:rsidP="000B3136">
      <w:pPr>
        <w:pStyle w:val="Paragraphedeliste"/>
        <w:numPr>
          <w:ilvl w:val="0"/>
          <w:numId w:val="2"/>
        </w:numPr>
        <w:jc w:val="both"/>
        <w:rPr>
          <w:rFonts w:ascii="Calibri" w:hAnsi="Calibri" w:cs="Calibri"/>
          <w:bCs/>
          <w:sz w:val="22"/>
          <w:szCs w:val="22"/>
        </w:rPr>
      </w:pPr>
      <w:r w:rsidRPr="005507A2">
        <w:rPr>
          <w:rFonts w:ascii="Calibri" w:hAnsi="Calibri" w:cs="Calibri"/>
          <w:bCs/>
          <w:sz w:val="22"/>
          <w:szCs w:val="22"/>
        </w:rPr>
        <w:t>À limiter la rémunération mensuelle versée à la société Sindy Management à un montant maximum de 35 000 € TTC sur toute la durée des plans de redressement ;</w:t>
      </w:r>
      <w:r w:rsidRPr="005507A2">
        <w:rPr>
          <w:rFonts w:ascii="Calibri" w:hAnsi="Calibri" w:cs="Calibri"/>
          <w:sz w:val="22"/>
          <w:szCs w:val="22"/>
        </w:rPr>
        <w:t xml:space="preserve"> </w:t>
      </w:r>
    </w:p>
    <w:p w14:paraId="32401C23" w14:textId="1E2D027A" w:rsidR="002F5CA1" w:rsidRPr="00D90EF2" w:rsidRDefault="002F5CA1" w:rsidP="000B3136">
      <w:pPr>
        <w:numPr>
          <w:ilvl w:val="0"/>
          <w:numId w:val="2"/>
        </w:numPr>
        <w:spacing w:before="120"/>
        <w:ind w:left="714" w:hanging="357"/>
        <w:jc w:val="both"/>
        <w:rPr>
          <w:rFonts w:ascii="Calibri" w:hAnsi="Calibri"/>
          <w:sz w:val="22"/>
        </w:rPr>
      </w:pPr>
      <w:r w:rsidRPr="00AA5855">
        <w:rPr>
          <w:rFonts w:ascii="Calibri" w:hAnsi="Calibri" w:cs="Calibri"/>
          <w:bCs/>
          <w:sz w:val="22"/>
          <w:szCs w:val="22"/>
        </w:rPr>
        <w:t>À</w:t>
      </w:r>
      <w:r>
        <w:rPr>
          <w:rFonts w:ascii="Calibri" w:hAnsi="Calibri" w:cs="Calibri"/>
          <w:sz w:val="22"/>
          <w:szCs w:val="22"/>
        </w:rPr>
        <w:t xml:space="preserve"> respecter stricteme</w:t>
      </w:r>
      <w:r w:rsidRPr="00280CAD">
        <w:rPr>
          <w:rFonts w:ascii="Calibri" w:hAnsi="Calibri" w:cs="Calibri"/>
          <w:sz w:val="22"/>
          <w:szCs w:val="22"/>
        </w:rPr>
        <w:t xml:space="preserve">nt les termes de la convention de management </w:t>
      </w:r>
      <w:proofErr w:type="spellStart"/>
      <w:r w:rsidRPr="00280CAD">
        <w:rPr>
          <w:rFonts w:ascii="Calibri" w:hAnsi="Calibri" w:cs="Calibri"/>
          <w:sz w:val="22"/>
          <w:szCs w:val="22"/>
        </w:rPr>
        <w:t>fees</w:t>
      </w:r>
      <w:proofErr w:type="spellEnd"/>
      <w:r w:rsidRPr="00280CAD">
        <w:rPr>
          <w:rFonts w:ascii="Calibri" w:hAnsi="Calibri" w:cs="Calibri"/>
          <w:sz w:val="22"/>
          <w:szCs w:val="22"/>
        </w:rPr>
        <w:t xml:space="preserve"> à conclure, le mo</w:t>
      </w:r>
      <w:r w:rsidRPr="00D90EF2">
        <w:rPr>
          <w:rFonts w:ascii="Calibri" w:hAnsi="Calibri"/>
          <w:sz w:val="22"/>
        </w:rPr>
        <w:t xml:space="preserve">ntant des managements </w:t>
      </w:r>
      <w:proofErr w:type="spellStart"/>
      <w:r w:rsidRPr="00D90EF2">
        <w:rPr>
          <w:rFonts w:ascii="Calibri" w:hAnsi="Calibri"/>
          <w:sz w:val="22"/>
        </w:rPr>
        <w:t>fees</w:t>
      </w:r>
      <w:proofErr w:type="spellEnd"/>
      <w:r w:rsidRPr="00D90EF2">
        <w:rPr>
          <w:rFonts w:ascii="Calibri" w:hAnsi="Calibri"/>
          <w:sz w:val="22"/>
        </w:rPr>
        <w:t xml:space="preserve"> refacturés à la société </w:t>
      </w:r>
      <w:r w:rsidR="00A60D75">
        <w:rPr>
          <w:rFonts w:ascii="Calibri" w:hAnsi="Calibri"/>
          <w:sz w:val="22"/>
        </w:rPr>
        <w:t xml:space="preserve">SCI Tolbiac </w:t>
      </w:r>
      <w:r w:rsidRPr="00D90EF2">
        <w:rPr>
          <w:rFonts w:ascii="Calibri" w:hAnsi="Calibri"/>
          <w:sz w:val="22"/>
        </w:rPr>
        <w:t xml:space="preserve">ne pouvant excéder le montant global de </w:t>
      </w:r>
      <w:r>
        <w:rPr>
          <w:rFonts w:ascii="Calibri" w:hAnsi="Calibri"/>
          <w:sz w:val="22"/>
        </w:rPr>
        <w:t>2</w:t>
      </w:r>
      <w:r w:rsidR="00A7593B">
        <w:rPr>
          <w:rFonts w:ascii="Calibri" w:hAnsi="Calibri"/>
          <w:sz w:val="22"/>
        </w:rPr>
        <w:t>5</w:t>
      </w:r>
      <w:r w:rsidRPr="00D90EF2">
        <w:rPr>
          <w:rFonts w:ascii="Calibri" w:hAnsi="Calibri"/>
          <w:sz w:val="22"/>
        </w:rPr>
        <w:t>k€ TTC, et dans les limites</w:t>
      </w:r>
      <w:r w:rsidRPr="002611C7">
        <w:rPr>
          <w:rFonts w:ascii="Calibri" w:hAnsi="Calibri"/>
          <w:sz w:val="22"/>
        </w:rPr>
        <w:t xml:space="preserve"> de la </w:t>
      </w:r>
      <w:r w:rsidRPr="00D90EF2">
        <w:rPr>
          <w:rFonts w:ascii="Calibri" w:hAnsi="Calibri"/>
          <w:sz w:val="22"/>
        </w:rPr>
        <w:t xml:space="preserve">trésorerie disponible de la société </w:t>
      </w:r>
      <w:r>
        <w:rPr>
          <w:rFonts w:ascii="Calibri" w:hAnsi="Calibri"/>
          <w:sz w:val="22"/>
        </w:rPr>
        <w:t>Tolbiac.</w:t>
      </w:r>
    </w:p>
    <w:p w14:paraId="608437F7" w14:textId="77777777" w:rsidR="002F5CA1" w:rsidRDefault="002F5CA1" w:rsidP="000B3136">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sidRPr="00D90EF2">
        <w:rPr>
          <w:rFonts w:ascii="Calibri" w:hAnsi="Calibri"/>
          <w:sz w:val="22"/>
        </w:rPr>
        <w:t>À respecter strictement les terme</w:t>
      </w:r>
      <w:r w:rsidRPr="00280CAD">
        <w:rPr>
          <w:rFonts w:ascii="Calibri" w:hAnsi="Calibri" w:cs="Calibri"/>
          <w:sz w:val="22"/>
          <w:szCs w:val="22"/>
        </w:rPr>
        <w:t>s</w:t>
      </w:r>
      <w:r w:rsidRPr="002611C7">
        <w:rPr>
          <w:rFonts w:ascii="Calibri" w:hAnsi="Calibri"/>
          <w:sz w:val="22"/>
        </w:rPr>
        <w:t xml:space="preserve"> de la convention de </w:t>
      </w:r>
      <w:r>
        <w:rPr>
          <w:rFonts w:ascii="Calibri" w:hAnsi="Calibri" w:cs="Calibri"/>
          <w:sz w:val="22"/>
          <w:szCs w:val="22"/>
        </w:rPr>
        <w:t xml:space="preserve">trésorerie qui sera </w:t>
      </w:r>
      <w:r>
        <w:rPr>
          <w:rFonts w:ascii="Calibri" w:hAnsi="Calibri" w:cs="Calibri"/>
          <w:bCs/>
          <w:sz w:val="22"/>
          <w:szCs w:val="22"/>
        </w:rPr>
        <w:t xml:space="preserve">agrée par les administrateurs judiciaires et acté par le Tribunal des activités économiques de Paris dans le jugement arrêtant le plan. </w:t>
      </w:r>
    </w:p>
    <w:p w14:paraId="4B63E2FC" w14:textId="77777777" w:rsidR="002F5CA1" w:rsidRPr="00280CAD" w:rsidRDefault="002F5CA1" w:rsidP="000B3136">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sidRPr="00AA5855">
        <w:rPr>
          <w:rFonts w:ascii="Calibri" w:hAnsi="Calibri" w:cs="Calibri"/>
          <w:bCs/>
          <w:sz w:val="22"/>
          <w:szCs w:val="22"/>
        </w:rPr>
        <w:t>À</w:t>
      </w:r>
      <w:r>
        <w:rPr>
          <w:rFonts w:ascii="Calibri" w:hAnsi="Calibri" w:cs="Calibri"/>
          <w:bCs/>
          <w:sz w:val="22"/>
          <w:szCs w:val="22"/>
        </w:rPr>
        <w:t xml:space="preserve"> internaliser le service de conciergerie conformément à la documentation prévisionnelle établie par le management et revue par le cabinet </w:t>
      </w:r>
      <w:proofErr w:type="spellStart"/>
      <w:r>
        <w:rPr>
          <w:rFonts w:ascii="Calibri" w:hAnsi="Calibri" w:cs="Calibri"/>
          <w:bCs/>
          <w:sz w:val="22"/>
          <w:szCs w:val="22"/>
        </w:rPr>
        <w:t>Accuracy</w:t>
      </w:r>
      <w:proofErr w:type="spellEnd"/>
      <w:r>
        <w:rPr>
          <w:rFonts w:ascii="Calibri" w:hAnsi="Calibri" w:cs="Calibri"/>
          <w:bCs/>
          <w:sz w:val="22"/>
          <w:szCs w:val="22"/>
        </w:rPr>
        <w:t xml:space="preserve"> (dès novembre 2026), l’internalisation de la conciergerie étant une hypothèse structurante des prévisions d’exploitation et de trésorerie de la Société.</w:t>
      </w:r>
    </w:p>
    <w:p w14:paraId="5207B8BC" w14:textId="77777777" w:rsidR="002F5CA1" w:rsidRDefault="002F5CA1" w:rsidP="002F5CA1">
      <w:pPr>
        <w:jc w:val="both"/>
        <w:rPr>
          <w:rFonts w:ascii="Calibri" w:hAnsi="Calibri" w:cs="Calibri"/>
          <w:sz w:val="22"/>
          <w:szCs w:val="22"/>
        </w:rPr>
      </w:pPr>
    </w:p>
    <w:p w14:paraId="5260385F" w14:textId="77777777" w:rsidR="004F36D5" w:rsidRDefault="004F36D5" w:rsidP="003967F8">
      <w:pPr>
        <w:jc w:val="both"/>
        <w:rPr>
          <w:rFonts w:ascii="Calibri" w:hAnsi="Calibri" w:cs="Calibri"/>
          <w:sz w:val="22"/>
          <w:szCs w:val="22"/>
        </w:rPr>
      </w:pPr>
    </w:p>
    <w:p w14:paraId="43EC4EE0" w14:textId="4BA9F3E5" w:rsidR="00AA5855" w:rsidRPr="002E0BCC" w:rsidRDefault="00AA5855" w:rsidP="00AB4266">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88" w:name="_Toc191908204"/>
      <w:bookmarkStart w:id="89" w:name="_Hlk191576418"/>
      <w:bookmarkStart w:id="90" w:name="_Toc222908306"/>
      <w:r w:rsidRPr="002E0BCC">
        <w:rPr>
          <w:rFonts w:ascii="Calibri" w:hAnsi="Calibri" w:cs="Calibri"/>
          <w:b/>
          <w:sz w:val="22"/>
          <w:szCs w:val="22"/>
        </w:rPr>
        <w:t>AUTRES ENGAGEMENTS</w:t>
      </w:r>
      <w:bookmarkEnd w:id="88"/>
      <w:bookmarkEnd w:id="89"/>
      <w:bookmarkEnd w:id="90"/>
    </w:p>
    <w:p w14:paraId="55240F69" w14:textId="77777777" w:rsidR="002B3EEF" w:rsidRDefault="002B3EEF" w:rsidP="00AA5855">
      <w:pPr>
        <w:jc w:val="both"/>
        <w:rPr>
          <w:rFonts w:ascii="Calibri" w:hAnsi="Calibri" w:cs="Calibri"/>
          <w:bCs/>
          <w:sz w:val="22"/>
          <w:szCs w:val="22"/>
        </w:rPr>
      </w:pPr>
    </w:p>
    <w:p w14:paraId="5B9AC0FD" w14:textId="64D7C264" w:rsidR="00AA5855" w:rsidRPr="00AA5855" w:rsidRDefault="00AA5855" w:rsidP="00AA5855">
      <w:pPr>
        <w:jc w:val="both"/>
        <w:rPr>
          <w:rFonts w:ascii="Calibri" w:hAnsi="Calibri" w:cs="Calibri"/>
          <w:bCs/>
          <w:sz w:val="22"/>
          <w:szCs w:val="22"/>
        </w:rPr>
      </w:pPr>
      <w:bookmarkStart w:id="91" w:name="_Hlk209524009"/>
      <w:r w:rsidRPr="00AA5855">
        <w:rPr>
          <w:rFonts w:ascii="Calibri" w:hAnsi="Calibri" w:cs="Calibri"/>
          <w:bCs/>
          <w:sz w:val="22"/>
          <w:szCs w:val="22"/>
        </w:rPr>
        <w:t xml:space="preserve">Aux fins de garantir la bonne exécution du plan de redressement judiciaire, la </w:t>
      </w:r>
      <w:r w:rsidR="00153623">
        <w:rPr>
          <w:rFonts w:ascii="Calibri" w:hAnsi="Calibri" w:cs="Calibri"/>
          <w:bCs/>
          <w:sz w:val="22"/>
          <w:szCs w:val="22"/>
        </w:rPr>
        <w:t>S</w:t>
      </w:r>
      <w:r w:rsidRPr="00AA5855">
        <w:rPr>
          <w:rFonts w:ascii="Calibri" w:hAnsi="Calibri" w:cs="Calibri"/>
          <w:bCs/>
          <w:sz w:val="22"/>
          <w:szCs w:val="22"/>
        </w:rPr>
        <w:t>ociété et son dirigeant, s’engagent à collaborer de bonne foi avec le Commissaire à l’exécution du plan désigné par le Tribunal, et notamment :</w:t>
      </w:r>
    </w:p>
    <w:p w14:paraId="3DAD6730" w14:textId="77777777" w:rsidR="00861DAB" w:rsidRPr="00AA5855"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bookmarkStart w:id="92" w:name="_Toc191908205"/>
      <w:bookmarkEnd w:id="91"/>
      <w:r w:rsidRPr="00AA5855">
        <w:rPr>
          <w:rFonts w:ascii="Calibri" w:hAnsi="Calibri" w:cs="Calibri"/>
          <w:bCs/>
          <w:sz w:val="22"/>
          <w:szCs w:val="22"/>
        </w:rPr>
        <w:lastRenderedPageBreak/>
        <w:t>À lui verser immédiatement, sur simple demande, les sommes nécessaires au règlement des créances de moins de 500 €,</w:t>
      </w:r>
    </w:p>
    <w:p w14:paraId="405C6C63" w14:textId="77777777" w:rsidR="00861DAB" w:rsidRPr="00AA5855"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sidRPr="00AA5855">
        <w:rPr>
          <w:rFonts w:ascii="Calibri" w:hAnsi="Calibri" w:cs="Calibri"/>
          <w:bCs/>
          <w:sz w:val="22"/>
          <w:szCs w:val="22"/>
        </w:rPr>
        <w:t>À lui verser, sur simple demande, dans les 30 jours avant chaque date anniversaire du plan de redressement judiciaire, les dividendes annuels à revenir aux créanciers</w:t>
      </w:r>
      <w:r w:rsidRPr="00E95A07">
        <w:rPr>
          <w:rFonts w:ascii="Calibri" w:hAnsi="Calibri" w:cs="Calibri"/>
          <w:bCs/>
          <w:sz w:val="22"/>
          <w:szCs w:val="22"/>
        </w:rPr>
        <w:t xml:space="preserve"> par virement sur le compte ouvert à la Caisse des Dépôts et Consignations au nom du Commissaire à l’Exécution du Plan</w:t>
      </w:r>
      <w:r w:rsidRPr="00AA5855">
        <w:rPr>
          <w:rFonts w:ascii="Calibri" w:hAnsi="Calibri" w:cs="Calibri"/>
          <w:bCs/>
          <w:sz w:val="22"/>
          <w:szCs w:val="22"/>
        </w:rPr>
        <w:t>,</w:t>
      </w:r>
    </w:p>
    <w:p w14:paraId="34B6E489" w14:textId="77777777" w:rsidR="00861DAB"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sidRPr="00AA5855">
        <w:rPr>
          <w:rFonts w:ascii="Calibri" w:hAnsi="Calibri" w:cs="Calibri"/>
          <w:bCs/>
          <w:sz w:val="22"/>
          <w:szCs w:val="22"/>
        </w:rPr>
        <w:t>À lui remettre les comptes annuels et le procès-verbal de l’assemblée générale d’approbation des comptes au Commissaire à l’exécution du plan dans les six mois de la clôture de l’exercice,</w:t>
      </w:r>
    </w:p>
    <w:p w14:paraId="676A3C0D" w14:textId="77777777" w:rsidR="00861DAB"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Pr>
          <w:rFonts w:ascii="Calibri" w:hAnsi="Calibri" w:cs="Calibri"/>
          <w:bCs/>
          <w:sz w:val="22"/>
          <w:szCs w:val="22"/>
        </w:rPr>
        <w:t xml:space="preserve">A lui remettre un rapport annuel établi par son expert-comptable sur le fonctionnement de la convention de trésorerie qui devra être conforme à la convention agrée par les administrateurs judiciaires et acté par le Tribunal des activités économiques de Paris dans le jugement arrêtant le plan. </w:t>
      </w:r>
    </w:p>
    <w:p w14:paraId="718EA838" w14:textId="0241168F" w:rsidR="00861DAB" w:rsidRPr="00280CAD"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Pr>
          <w:rFonts w:ascii="Calibri" w:hAnsi="Calibri" w:cs="Calibri"/>
          <w:bCs/>
          <w:sz w:val="22"/>
          <w:szCs w:val="22"/>
        </w:rPr>
        <w:t xml:space="preserve">A lui remettre un rapport annuel certifiant que le montant des </w:t>
      </w:r>
      <w:r w:rsidRPr="00280CAD">
        <w:rPr>
          <w:rFonts w:ascii="Calibri" w:hAnsi="Calibri" w:cs="Calibri"/>
          <w:bCs/>
          <w:i/>
          <w:iCs/>
          <w:sz w:val="22"/>
          <w:szCs w:val="22"/>
        </w:rPr>
        <w:t xml:space="preserve">management </w:t>
      </w:r>
      <w:proofErr w:type="spellStart"/>
      <w:r w:rsidRPr="00280CAD">
        <w:rPr>
          <w:rFonts w:ascii="Calibri" w:hAnsi="Calibri" w:cs="Calibri"/>
          <w:bCs/>
          <w:i/>
          <w:iCs/>
          <w:sz w:val="22"/>
          <w:szCs w:val="22"/>
        </w:rPr>
        <w:t>fees</w:t>
      </w:r>
      <w:proofErr w:type="spellEnd"/>
      <w:r w:rsidRPr="00280CAD">
        <w:rPr>
          <w:rFonts w:ascii="Calibri" w:hAnsi="Calibri" w:cs="Calibri"/>
          <w:bCs/>
          <w:i/>
          <w:iCs/>
          <w:sz w:val="22"/>
          <w:szCs w:val="22"/>
        </w:rPr>
        <w:t xml:space="preserve"> </w:t>
      </w:r>
      <w:r>
        <w:rPr>
          <w:rFonts w:ascii="Calibri" w:hAnsi="Calibri" w:cs="Calibri"/>
          <w:bCs/>
          <w:sz w:val="22"/>
          <w:szCs w:val="22"/>
        </w:rPr>
        <w:t xml:space="preserve">versées à la société HFI ne dépasse pas les plafonds fixés dans les prévisions du management revues par </w:t>
      </w:r>
      <w:proofErr w:type="spellStart"/>
      <w:r>
        <w:rPr>
          <w:rFonts w:ascii="Calibri" w:hAnsi="Calibri" w:cs="Calibri"/>
          <w:bCs/>
          <w:sz w:val="22"/>
          <w:szCs w:val="22"/>
        </w:rPr>
        <w:t>Accuracy</w:t>
      </w:r>
      <w:proofErr w:type="spellEnd"/>
      <w:r>
        <w:rPr>
          <w:rFonts w:ascii="Calibri" w:hAnsi="Calibri" w:cs="Calibri"/>
          <w:bCs/>
          <w:sz w:val="22"/>
          <w:szCs w:val="22"/>
        </w:rPr>
        <w:t xml:space="preserve"> dans son rapport en date du </w:t>
      </w:r>
      <w:r w:rsidR="00FB0548">
        <w:rPr>
          <w:rFonts w:ascii="Calibri" w:hAnsi="Calibri" w:cs="Calibri"/>
          <w:bCs/>
          <w:sz w:val="22"/>
          <w:szCs w:val="22"/>
        </w:rPr>
        <w:t>25 février 2026</w:t>
      </w:r>
      <w:r w:rsidRPr="00EE1436">
        <w:rPr>
          <w:rFonts w:ascii="Calibri" w:hAnsi="Calibri" w:cs="Calibri"/>
          <w:bCs/>
          <w:sz w:val="22"/>
          <w:szCs w:val="22"/>
        </w:rPr>
        <w:t>.</w:t>
      </w:r>
    </w:p>
    <w:p w14:paraId="252710AA" w14:textId="529B5C03" w:rsidR="00861DAB" w:rsidRDefault="00861DAB" w:rsidP="00861DAB">
      <w:pPr>
        <w:pStyle w:val="Paragraphedeliste"/>
        <w:numPr>
          <w:ilvl w:val="0"/>
          <w:numId w:val="1"/>
        </w:numPr>
        <w:overflowPunct w:val="0"/>
        <w:autoSpaceDE w:val="0"/>
        <w:autoSpaceDN w:val="0"/>
        <w:adjustRightInd w:val="0"/>
        <w:spacing w:before="120"/>
        <w:ind w:left="714" w:hanging="357"/>
        <w:contextualSpacing w:val="0"/>
        <w:jc w:val="both"/>
        <w:textAlignment w:val="baseline"/>
        <w:rPr>
          <w:rFonts w:ascii="Calibri" w:hAnsi="Calibri" w:cs="Calibri"/>
          <w:bCs/>
          <w:sz w:val="22"/>
          <w:szCs w:val="22"/>
        </w:rPr>
      </w:pPr>
      <w:r w:rsidRPr="00AA5855">
        <w:rPr>
          <w:rFonts w:ascii="Calibri" w:hAnsi="Calibri" w:cs="Calibri"/>
          <w:bCs/>
          <w:sz w:val="22"/>
          <w:szCs w:val="22"/>
        </w:rPr>
        <w:t>À porter à sa connaissance, sans délai, toute difficulté significative rencontrée dans l’exécution du présent plan de redressement judiciaire.</w:t>
      </w:r>
    </w:p>
    <w:p w14:paraId="1E5EEFAA" w14:textId="77777777" w:rsidR="00861DAB" w:rsidRPr="00861DAB" w:rsidRDefault="00861DAB" w:rsidP="00861DAB">
      <w:pPr>
        <w:pStyle w:val="Paragraphedeliste"/>
        <w:overflowPunct w:val="0"/>
        <w:autoSpaceDE w:val="0"/>
        <w:autoSpaceDN w:val="0"/>
        <w:adjustRightInd w:val="0"/>
        <w:spacing w:before="120"/>
        <w:ind w:left="714"/>
        <w:contextualSpacing w:val="0"/>
        <w:jc w:val="both"/>
        <w:textAlignment w:val="baseline"/>
        <w:rPr>
          <w:rFonts w:ascii="Calibri" w:hAnsi="Calibri" w:cs="Calibri"/>
          <w:bCs/>
          <w:sz w:val="22"/>
          <w:szCs w:val="22"/>
        </w:rPr>
      </w:pPr>
    </w:p>
    <w:p w14:paraId="66B70A6B" w14:textId="77777777" w:rsidR="00861DAB" w:rsidRPr="00AA5855" w:rsidRDefault="00861DAB" w:rsidP="00861DAB">
      <w:pPr>
        <w:jc w:val="both"/>
        <w:rPr>
          <w:rFonts w:ascii="Calibri" w:hAnsi="Calibri" w:cs="Calibri"/>
          <w:sz w:val="22"/>
          <w:szCs w:val="22"/>
        </w:rPr>
      </w:pPr>
      <w:r w:rsidRPr="00AA5855">
        <w:rPr>
          <w:rFonts w:ascii="Calibri" w:hAnsi="Calibri" w:cs="Calibri"/>
          <w:sz w:val="22"/>
          <w:szCs w:val="22"/>
        </w:rPr>
        <w:t>La dirigeant</w:t>
      </w:r>
      <w:r>
        <w:rPr>
          <w:rFonts w:ascii="Calibri" w:hAnsi="Calibri" w:cs="Calibri"/>
          <w:sz w:val="22"/>
          <w:szCs w:val="22"/>
        </w:rPr>
        <w:t>e</w:t>
      </w:r>
      <w:r w:rsidRPr="00AA5855">
        <w:rPr>
          <w:rFonts w:ascii="Calibri" w:hAnsi="Calibri" w:cs="Calibri"/>
          <w:sz w:val="22"/>
          <w:szCs w:val="22"/>
        </w:rPr>
        <w:t xml:space="preserve"> de la </w:t>
      </w:r>
      <w:r>
        <w:rPr>
          <w:rFonts w:ascii="Calibri" w:hAnsi="Calibri" w:cs="Calibri"/>
          <w:sz w:val="22"/>
          <w:szCs w:val="22"/>
        </w:rPr>
        <w:t>S</w:t>
      </w:r>
      <w:r w:rsidRPr="00AA5855">
        <w:rPr>
          <w:rFonts w:ascii="Calibri" w:hAnsi="Calibri" w:cs="Calibri"/>
          <w:sz w:val="22"/>
          <w:szCs w:val="22"/>
        </w:rPr>
        <w:t>ociété s'engage :</w:t>
      </w:r>
    </w:p>
    <w:p w14:paraId="1717A1B6" w14:textId="77777777" w:rsidR="00861DAB" w:rsidRPr="00AA5855" w:rsidRDefault="00861DAB" w:rsidP="00861DAB">
      <w:pPr>
        <w:numPr>
          <w:ilvl w:val="0"/>
          <w:numId w:val="2"/>
        </w:numPr>
        <w:spacing w:before="120"/>
        <w:ind w:left="714" w:hanging="357"/>
        <w:jc w:val="both"/>
        <w:rPr>
          <w:rFonts w:ascii="Calibri" w:hAnsi="Calibri" w:cs="Calibri"/>
          <w:sz w:val="22"/>
          <w:szCs w:val="22"/>
        </w:rPr>
      </w:pPr>
      <w:r w:rsidRPr="00AA5855">
        <w:rPr>
          <w:rFonts w:ascii="Calibri" w:hAnsi="Calibri" w:cs="Calibri"/>
          <w:bCs/>
          <w:sz w:val="22"/>
          <w:szCs w:val="22"/>
        </w:rPr>
        <w:t>À</w:t>
      </w:r>
      <w:r w:rsidRPr="00AA5855">
        <w:rPr>
          <w:rFonts w:ascii="Calibri" w:hAnsi="Calibri" w:cs="Calibri"/>
          <w:sz w:val="22"/>
          <w:szCs w:val="22"/>
        </w:rPr>
        <w:t xml:space="preserve"> informer le Commissaire à l'exécution du plan de tout projet de modification dans la répartition du capital,</w:t>
      </w:r>
    </w:p>
    <w:p w14:paraId="00A379BE" w14:textId="77777777" w:rsidR="00861DAB" w:rsidRDefault="00861DAB" w:rsidP="00861DAB">
      <w:pPr>
        <w:numPr>
          <w:ilvl w:val="0"/>
          <w:numId w:val="2"/>
        </w:numPr>
        <w:spacing w:before="120"/>
        <w:ind w:left="714" w:hanging="357"/>
        <w:jc w:val="both"/>
        <w:rPr>
          <w:rFonts w:ascii="Calibri" w:hAnsi="Calibri" w:cs="Calibri"/>
          <w:sz w:val="22"/>
          <w:szCs w:val="22"/>
        </w:rPr>
      </w:pPr>
      <w:r w:rsidRPr="00AA5855">
        <w:rPr>
          <w:rFonts w:ascii="Calibri" w:hAnsi="Calibri" w:cs="Calibri"/>
          <w:bCs/>
          <w:sz w:val="22"/>
          <w:szCs w:val="22"/>
        </w:rPr>
        <w:t>À</w:t>
      </w:r>
      <w:r w:rsidRPr="00AA5855">
        <w:rPr>
          <w:rFonts w:ascii="Calibri" w:hAnsi="Calibri" w:cs="Calibri"/>
          <w:sz w:val="22"/>
          <w:szCs w:val="22"/>
        </w:rPr>
        <w:t xml:space="preserve"> ne pas mettre en location gérance le fonds de commerce qui constituerait une modification dans les moyens, sans l'autorisation du Tribunal.</w:t>
      </w:r>
    </w:p>
    <w:p w14:paraId="24397245" w14:textId="0D9A0498" w:rsidR="00663FF6" w:rsidRDefault="00663FF6" w:rsidP="008E4A9C">
      <w:pPr>
        <w:spacing w:line="259" w:lineRule="auto"/>
        <w:rPr>
          <w:rFonts w:ascii="Calibri" w:hAnsi="Calibri" w:cs="Calibri"/>
          <w:b/>
          <w:sz w:val="22"/>
          <w:szCs w:val="22"/>
        </w:rPr>
      </w:pPr>
    </w:p>
    <w:p w14:paraId="121A673E" w14:textId="5D4B138A" w:rsidR="00AA5855" w:rsidRPr="001962A3" w:rsidRDefault="00B67D8F" w:rsidP="00AB4266">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93" w:name="_Toc222908307"/>
      <w:r w:rsidRPr="001962A3">
        <w:rPr>
          <w:rFonts w:ascii="Calibri" w:hAnsi="Calibri" w:cs="Calibri"/>
          <w:b/>
          <w:sz w:val="22"/>
          <w:szCs w:val="22"/>
        </w:rPr>
        <w:t>CLAUSE D’</w:t>
      </w:r>
      <w:r w:rsidR="00AA5855" w:rsidRPr="001962A3">
        <w:rPr>
          <w:rFonts w:ascii="Calibri" w:hAnsi="Calibri" w:cs="Calibri"/>
          <w:b/>
          <w:sz w:val="22"/>
          <w:szCs w:val="22"/>
        </w:rPr>
        <w:t>INALIENABILITE</w:t>
      </w:r>
      <w:bookmarkEnd w:id="92"/>
      <w:bookmarkEnd w:id="93"/>
    </w:p>
    <w:p w14:paraId="4CE9573A" w14:textId="77777777" w:rsidR="00296080" w:rsidRDefault="00296080" w:rsidP="00AA5855">
      <w:pPr>
        <w:jc w:val="both"/>
        <w:rPr>
          <w:rFonts w:ascii="Calibri" w:hAnsi="Calibri" w:cs="Calibri"/>
          <w:sz w:val="22"/>
          <w:szCs w:val="22"/>
        </w:rPr>
      </w:pPr>
    </w:p>
    <w:p w14:paraId="19F777C3" w14:textId="577C0C1B" w:rsidR="00AA5855" w:rsidRPr="00AA5855" w:rsidRDefault="00AA5855" w:rsidP="00AA5855">
      <w:pPr>
        <w:jc w:val="both"/>
        <w:rPr>
          <w:rFonts w:ascii="Calibri" w:hAnsi="Calibri" w:cs="Calibri"/>
          <w:sz w:val="22"/>
          <w:szCs w:val="22"/>
        </w:rPr>
      </w:pPr>
      <w:r w:rsidRPr="00AA5855">
        <w:rPr>
          <w:rFonts w:ascii="Calibri" w:hAnsi="Calibri" w:cs="Calibri"/>
          <w:sz w:val="22"/>
          <w:szCs w:val="22"/>
        </w:rPr>
        <w:t>Il est rappelé que le Tribunal a la possibilité lorsqu'il arrête un plan, de décider que les biens qu'il estime indispensables à la continuation de l'entreprise ne pourront être aliénés, pour une durée qu'il fixe, sans son autorisation, et ce sur la base des dispositions de l'article L. 626-14 et R. 626-25 du code de commerce.</w:t>
      </w:r>
    </w:p>
    <w:p w14:paraId="45BA3D32" w14:textId="77777777" w:rsidR="00AA5855" w:rsidRPr="00AA5855" w:rsidRDefault="00AA5855" w:rsidP="00AA5855">
      <w:pPr>
        <w:jc w:val="both"/>
        <w:rPr>
          <w:rFonts w:ascii="Calibri" w:hAnsi="Calibri" w:cs="Calibri"/>
          <w:sz w:val="22"/>
          <w:szCs w:val="22"/>
        </w:rPr>
      </w:pPr>
    </w:p>
    <w:p w14:paraId="2A751C86" w14:textId="591CF621" w:rsidR="006D1536" w:rsidRPr="00AA5855" w:rsidRDefault="00AA5855" w:rsidP="00AA5855">
      <w:pPr>
        <w:jc w:val="both"/>
        <w:rPr>
          <w:rFonts w:ascii="Calibri" w:hAnsi="Calibri" w:cs="Calibri"/>
          <w:iCs/>
          <w:sz w:val="22"/>
          <w:szCs w:val="22"/>
          <w:lang w:eastAsia="en-US"/>
        </w:rPr>
      </w:pPr>
      <w:r w:rsidRPr="00AA5855">
        <w:rPr>
          <w:rFonts w:ascii="Calibri" w:hAnsi="Calibri" w:cs="Calibri"/>
          <w:sz w:val="22"/>
          <w:szCs w:val="22"/>
        </w:rPr>
        <w:t xml:space="preserve">Par ailleurs, </w:t>
      </w:r>
      <w:r w:rsidRPr="00AA5855">
        <w:rPr>
          <w:rFonts w:ascii="Calibri" w:hAnsi="Calibri" w:cs="Calibri"/>
          <w:iCs/>
          <w:sz w:val="22"/>
          <w:szCs w:val="22"/>
          <w:lang w:eastAsia="en-US"/>
        </w:rPr>
        <w:t xml:space="preserve">le dirigeant de la société s’engage à ne pas aliéner le fonds de commerce </w:t>
      </w:r>
      <w:r w:rsidR="006D1536">
        <w:rPr>
          <w:rFonts w:ascii="Calibri" w:hAnsi="Calibri" w:cs="Calibri"/>
          <w:iCs/>
          <w:sz w:val="22"/>
          <w:szCs w:val="22"/>
          <w:lang w:eastAsia="en-US"/>
        </w:rPr>
        <w:t xml:space="preserve">et les actifs immobiliers qui le composent </w:t>
      </w:r>
      <w:r w:rsidRPr="00AA5855">
        <w:rPr>
          <w:rFonts w:ascii="Calibri" w:hAnsi="Calibri" w:cs="Calibri"/>
          <w:iCs/>
          <w:sz w:val="22"/>
          <w:szCs w:val="22"/>
          <w:lang w:eastAsia="en-US"/>
        </w:rPr>
        <w:t>sans l'autorisation du Tribunal, et ce, pour une durée qui sera laissée à l'appréciation du Tribunal en fonction des caractéristiques du projet de plan soumis à son examen</w:t>
      </w:r>
      <w:r w:rsidR="006D1536">
        <w:rPr>
          <w:rFonts w:ascii="Calibri" w:hAnsi="Calibri" w:cs="Calibri"/>
          <w:iCs/>
          <w:sz w:val="22"/>
          <w:szCs w:val="22"/>
          <w:lang w:eastAsia="en-US"/>
        </w:rPr>
        <w:t>, de sorte que dans l’hypothèse d’une cession des actifs immobiliers en lieu et place du refinancement projeté pour permettre le règlement de la dernière annuité du plan le Tribunal sera saisi sur la base d’une offre ferme sans condition de financement d’une demande de levée d’inaliénabilité par la Société.</w:t>
      </w:r>
    </w:p>
    <w:p w14:paraId="36C4008C" w14:textId="77777777" w:rsidR="00AA5855" w:rsidRPr="00AA5855" w:rsidRDefault="00AA5855" w:rsidP="00AA5855">
      <w:pPr>
        <w:jc w:val="both"/>
        <w:rPr>
          <w:rFonts w:ascii="Calibri" w:hAnsi="Calibri" w:cs="Calibri"/>
          <w:iCs/>
          <w:sz w:val="22"/>
          <w:szCs w:val="22"/>
          <w:lang w:eastAsia="en-US"/>
        </w:rPr>
      </w:pPr>
    </w:p>
    <w:p w14:paraId="1855C365" w14:textId="1313C8D6" w:rsidR="0072379B" w:rsidRDefault="00AA5855" w:rsidP="00AA5855">
      <w:pPr>
        <w:jc w:val="both"/>
        <w:rPr>
          <w:rFonts w:ascii="Calibri" w:hAnsi="Calibri" w:cs="Calibri"/>
          <w:iCs/>
          <w:sz w:val="22"/>
          <w:szCs w:val="22"/>
          <w:lang w:eastAsia="en-US"/>
        </w:rPr>
      </w:pPr>
      <w:r w:rsidRPr="00AA5855">
        <w:rPr>
          <w:rFonts w:ascii="Calibri" w:hAnsi="Calibri" w:cs="Calibri"/>
          <w:iCs/>
          <w:sz w:val="22"/>
          <w:szCs w:val="22"/>
          <w:lang w:eastAsia="en-US"/>
        </w:rPr>
        <w:t>À toutes fins utiles, l'engagement d'inaliénabilité ne s'applique qu'aux actifs figurant dans le patrimoine de la société à la date d'ouverture de la procédure de redressement judiciaire ou acquis pendant la période d'observation. Par ailleurs l’engagement d’inaliénabilité ne s’appliquera pas au matériel devenu obsolète et devant être renouvelé.</w:t>
      </w:r>
    </w:p>
    <w:p w14:paraId="21BE0D5F" w14:textId="738A5BE3" w:rsidR="00AA5855" w:rsidRDefault="0072379B" w:rsidP="0072379B">
      <w:pPr>
        <w:spacing w:after="160" w:line="259" w:lineRule="auto"/>
        <w:rPr>
          <w:rFonts w:ascii="Calibri" w:hAnsi="Calibri" w:cs="Calibri"/>
          <w:iCs/>
          <w:sz w:val="22"/>
          <w:szCs w:val="22"/>
          <w:lang w:eastAsia="en-US"/>
        </w:rPr>
      </w:pPr>
      <w:r>
        <w:rPr>
          <w:rFonts w:ascii="Calibri" w:hAnsi="Calibri" w:cs="Calibri"/>
          <w:iCs/>
          <w:sz w:val="22"/>
          <w:szCs w:val="22"/>
          <w:lang w:eastAsia="en-US"/>
        </w:rPr>
        <w:br w:type="page"/>
      </w:r>
    </w:p>
    <w:p w14:paraId="20C8F514" w14:textId="77777777" w:rsidR="008E4A9C" w:rsidRPr="00AA5855" w:rsidRDefault="008E4A9C" w:rsidP="00AA5855">
      <w:pPr>
        <w:jc w:val="both"/>
        <w:rPr>
          <w:rFonts w:ascii="Calibri" w:hAnsi="Calibri" w:cs="Calibri"/>
          <w:iCs/>
          <w:sz w:val="22"/>
          <w:szCs w:val="22"/>
          <w:lang w:eastAsia="en-US"/>
        </w:rPr>
      </w:pPr>
    </w:p>
    <w:p w14:paraId="17B2DC43" w14:textId="3D633F2C" w:rsidR="00AA5855" w:rsidRPr="001962A3" w:rsidRDefault="00AA5855" w:rsidP="00AB4266">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94" w:name="_Toc191908206"/>
      <w:bookmarkStart w:id="95" w:name="_Toc222908308"/>
      <w:r w:rsidRPr="001962A3">
        <w:rPr>
          <w:rFonts w:ascii="Calibri" w:hAnsi="Calibri" w:cs="Calibri"/>
          <w:b/>
          <w:sz w:val="22"/>
          <w:szCs w:val="22"/>
        </w:rPr>
        <w:t>PRIMAUTE ET INDIVISIBILITE DU PROJET DE PLAN</w:t>
      </w:r>
      <w:bookmarkEnd w:id="94"/>
      <w:bookmarkEnd w:id="95"/>
    </w:p>
    <w:p w14:paraId="3681C6B9" w14:textId="77777777" w:rsidR="00296080" w:rsidRDefault="00296080" w:rsidP="00AA5855">
      <w:pPr>
        <w:jc w:val="both"/>
        <w:rPr>
          <w:rFonts w:ascii="Calibri" w:hAnsi="Calibri" w:cs="Calibri"/>
          <w:sz w:val="22"/>
          <w:szCs w:val="22"/>
        </w:rPr>
      </w:pPr>
      <w:bookmarkStart w:id="96" w:name="_Hlk209524064"/>
    </w:p>
    <w:p w14:paraId="43B8A3AC" w14:textId="7C0CF94C" w:rsidR="00AA5855" w:rsidRPr="00AA5855" w:rsidRDefault="00AA5855" w:rsidP="00AA5855">
      <w:pPr>
        <w:jc w:val="both"/>
        <w:rPr>
          <w:rFonts w:ascii="Calibri" w:hAnsi="Calibri" w:cs="Calibri"/>
          <w:sz w:val="22"/>
          <w:szCs w:val="22"/>
        </w:rPr>
      </w:pPr>
      <w:r w:rsidRPr="00AA5855">
        <w:rPr>
          <w:rFonts w:ascii="Calibri" w:hAnsi="Calibri" w:cs="Calibri"/>
          <w:sz w:val="22"/>
          <w:szCs w:val="22"/>
        </w:rPr>
        <w:t>À compter de son arrêté par le Tribunal de</w:t>
      </w:r>
      <w:r w:rsidR="00062025">
        <w:rPr>
          <w:rFonts w:ascii="Calibri" w:hAnsi="Calibri" w:cs="Calibri"/>
          <w:sz w:val="22"/>
          <w:szCs w:val="22"/>
        </w:rPr>
        <w:t xml:space="preserve">s activités économiques </w:t>
      </w:r>
      <w:r w:rsidRPr="00AA5855">
        <w:rPr>
          <w:rFonts w:ascii="Calibri" w:hAnsi="Calibri" w:cs="Calibri"/>
          <w:sz w:val="22"/>
          <w:szCs w:val="22"/>
        </w:rPr>
        <w:t>de Paris, les dispositions du projet de plan, en ce compris ses annexes, s’appliqueront à la société et à l’ensemble de ses créanciers affectés par le plan. Il est précisé que le plan se substituera à toute documentation de financement existante à l’exception (i) des sûretés déclarées et admises au passif de la société qui demeureront en vigueur et (ii) des clauses se limitant à régir les relations entre créanciers ou entre les créanciers et la société.</w:t>
      </w:r>
    </w:p>
    <w:p w14:paraId="1D6BD334" w14:textId="77777777" w:rsidR="00AA5855" w:rsidRPr="00AA5855" w:rsidRDefault="00AA5855" w:rsidP="00AA5855">
      <w:pPr>
        <w:jc w:val="both"/>
        <w:rPr>
          <w:rFonts w:ascii="Calibri" w:hAnsi="Calibri" w:cs="Calibri"/>
          <w:sz w:val="22"/>
          <w:szCs w:val="22"/>
        </w:rPr>
      </w:pPr>
    </w:p>
    <w:p w14:paraId="4C9243F0" w14:textId="77777777" w:rsidR="00AA5855" w:rsidRPr="00AA5855" w:rsidRDefault="00AA5855" w:rsidP="00AA5855">
      <w:pPr>
        <w:jc w:val="both"/>
        <w:rPr>
          <w:rFonts w:ascii="Calibri" w:hAnsi="Calibri" w:cs="Calibri"/>
          <w:sz w:val="22"/>
          <w:szCs w:val="22"/>
        </w:rPr>
      </w:pPr>
      <w:r w:rsidRPr="00AA5855">
        <w:rPr>
          <w:rFonts w:ascii="Calibri" w:hAnsi="Calibri" w:cs="Calibri"/>
          <w:sz w:val="22"/>
          <w:szCs w:val="22"/>
        </w:rPr>
        <w:t>En particulier, les créanciers ne pourront en aucun cas exercer leurs sûretés, sauf résolution du plan et ne pourront être remboursés en dehors de ce qui est prévu par le plan.</w:t>
      </w:r>
    </w:p>
    <w:p w14:paraId="2245240F" w14:textId="77777777" w:rsidR="00AA5855" w:rsidRPr="00AA5855" w:rsidRDefault="00AA5855" w:rsidP="00AA5855">
      <w:pPr>
        <w:jc w:val="both"/>
        <w:rPr>
          <w:rFonts w:ascii="Calibri" w:hAnsi="Calibri" w:cs="Calibri"/>
          <w:sz w:val="22"/>
          <w:szCs w:val="22"/>
        </w:rPr>
      </w:pPr>
    </w:p>
    <w:p w14:paraId="51850D11" w14:textId="77777777" w:rsidR="00AA5855" w:rsidRPr="00AA5855" w:rsidRDefault="00AA5855" w:rsidP="00AA5855">
      <w:pPr>
        <w:jc w:val="both"/>
        <w:rPr>
          <w:rFonts w:ascii="Calibri" w:hAnsi="Calibri" w:cs="Calibri"/>
          <w:sz w:val="22"/>
          <w:szCs w:val="22"/>
        </w:rPr>
      </w:pPr>
      <w:r w:rsidRPr="00AA5855">
        <w:rPr>
          <w:rFonts w:ascii="Calibri" w:hAnsi="Calibri" w:cs="Calibri"/>
          <w:sz w:val="22"/>
          <w:szCs w:val="22"/>
        </w:rPr>
        <w:t>En cas de contradiction entre l’une quelconque des dispositions du plan et l’une quelconque des stipulations de ses annexes, le plan prévaudra.</w:t>
      </w:r>
    </w:p>
    <w:p w14:paraId="78533929" w14:textId="77777777" w:rsidR="00AA5855" w:rsidRPr="00AA5855" w:rsidRDefault="00AA5855" w:rsidP="00AA5855">
      <w:pPr>
        <w:jc w:val="both"/>
        <w:rPr>
          <w:rFonts w:ascii="Calibri" w:hAnsi="Calibri" w:cs="Calibri"/>
          <w:sz w:val="22"/>
          <w:szCs w:val="22"/>
        </w:rPr>
      </w:pPr>
    </w:p>
    <w:p w14:paraId="2BC4E0FE" w14:textId="77777777" w:rsidR="00AA5855" w:rsidRPr="00AA5855" w:rsidRDefault="00AA5855" w:rsidP="00AA5855">
      <w:pPr>
        <w:jc w:val="both"/>
        <w:rPr>
          <w:rFonts w:ascii="Calibri" w:hAnsi="Calibri" w:cs="Calibri"/>
          <w:sz w:val="22"/>
          <w:szCs w:val="22"/>
        </w:rPr>
      </w:pPr>
      <w:r w:rsidRPr="00AA5855">
        <w:rPr>
          <w:rFonts w:ascii="Calibri" w:hAnsi="Calibri" w:cs="Calibri"/>
          <w:sz w:val="22"/>
          <w:szCs w:val="22"/>
        </w:rPr>
        <w:t>En tant que de besoin, il est rappelé que les dispositions du plan s’imposeront et seront opposables à l’ensemble des créanciers de la société, y compris ceux qui n’auront pas répondu à la proposition qui leur sera adressée par le mandataire judiciaire en application des dispositions de l’article L. 626-5 du code de commerce.</w:t>
      </w:r>
    </w:p>
    <w:p w14:paraId="772D9FCF" w14:textId="0DC5C439" w:rsidR="00F563B7" w:rsidRDefault="00F563B7" w:rsidP="00DC528B">
      <w:pPr>
        <w:spacing w:line="259" w:lineRule="auto"/>
        <w:rPr>
          <w:rFonts w:ascii="Calibri" w:hAnsi="Calibri" w:cs="Calibri"/>
          <w:b/>
          <w:sz w:val="22"/>
          <w:szCs w:val="22"/>
        </w:rPr>
      </w:pPr>
      <w:bookmarkStart w:id="97" w:name="_Toc191908207"/>
      <w:bookmarkEnd w:id="96"/>
    </w:p>
    <w:p w14:paraId="07B742A3" w14:textId="09E37C8B" w:rsidR="00AA5855" w:rsidRPr="00C74ECB" w:rsidRDefault="00AA5855" w:rsidP="00AB4266">
      <w:pPr>
        <w:pStyle w:val="Paragraphedeliste"/>
        <w:numPr>
          <w:ilvl w:val="0"/>
          <w:numId w:val="9"/>
        </w:num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0"/>
        <w:rPr>
          <w:rFonts w:ascii="Calibri" w:hAnsi="Calibri" w:cs="Calibri"/>
          <w:b/>
          <w:sz w:val="22"/>
          <w:szCs w:val="22"/>
        </w:rPr>
      </w:pPr>
      <w:bookmarkStart w:id="98" w:name="_Toc222908309"/>
      <w:r w:rsidRPr="00C74ECB">
        <w:rPr>
          <w:rFonts w:ascii="Calibri" w:hAnsi="Calibri" w:cs="Calibri"/>
          <w:b/>
          <w:sz w:val="22"/>
          <w:szCs w:val="22"/>
        </w:rPr>
        <w:t>GARANT</w:t>
      </w:r>
      <w:bookmarkEnd w:id="97"/>
      <w:bookmarkEnd w:id="98"/>
    </w:p>
    <w:p w14:paraId="50DEFB7E" w14:textId="77777777" w:rsidR="00296080" w:rsidRDefault="00296080" w:rsidP="00AA5855">
      <w:pPr>
        <w:jc w:val="both"/>
        <w:rPr>
          <w:rFonts w:ascii="Calibri" w:hAnsi="Calibri" w:cs="Calibri"/>
          <w:sz w:val="22"/>
          <w:szCs w:val="22"/>
        </w:rPr>
      </w:pPr>
      <w:bookmarkStart w:id="99" w:name="_Hlk209524057"/>
    </w:p>
    <w:p w14:paraId="2C6F1C57" w14:textId="36E13A87" w:rsidR="00C55F17" w:rsidRDefault="00AA5855" w:rsidP="00AA5855">
      <w:pPr>
        <w:jc w:val="both"/>
        <w:rPr>
          <w:rFonts w:ascii="Calibri" w:hAnsi="Calibri" w:cs="Calibri"/>
          <w:sz w:val="22"/>
          <w:szCs w:val="22"/>
        </w:rPr>
      </w:pPr>
      <w:r w:rsidRPr="00AA5855">
        <w:rPr>
          <w:rFonts w:ascii="Calibri" w:hAnsi="Calibri" w:cs="Calibri"/>
          <w:sz w:val="22"/>
          <w:szCs w:val="22"/>
        </w:rPr>
        <w:t xml:space="preserve">Conformément aux dispositions de l’article L. 626-10 du code de commerce, </w:t>
      </w:r>
      <w:r w:rsidR="001865F1">
        <w:rPr>
          <w:rFonts w:ascii="Calibri" w:hAnsi="Calibri" w:cs="Calibri"/>
          <w:sz w:val="22"/>
          <w:szCs w:val="22"/>
        </w:rPr>
        <w:t>le représentant légal</w:t>
      </w:r>
      <w:r w:rsidRPr="00AA5855">
        <w:rPr>
          <w:rFonts w:ascii="Calibri" w:hAnsi="Calibri" w:cs="Calibri"/>
          <w:sz w:val="22"/>
          <w:szCs w:val="22"/>
        </w:rPr>
        <w:t xml:space="preserve"> de la </w:t>
      </w:r>
      <w:r w:rsidR="007C479C">
        <w:rPr>
          <w:rFonts w:ascii="Calibri" w:hAnsi="Calibri" w:cs="Calibri"/>
          <w:sz w:val="22"/>
          <w:szCs w:val="22"/>
        </w:rPr>
        <w:t xml:space="preserve">société </w:t>
      </w:r>
      <w:r w:rsidR="00DA407C">
        <w:rPr>
          <w:rFonts w:ascii="Calibri" w:hAnsi="Calibri" w:cs="Calibri"/>
          <w:sz w:val="22"/>
          <w:szCs w:val="22"/>
        </w:rPr>
        <w:t>SCI Tolbiac</w:t>
      </w:r>
      <w:r w:rsidRPr="00AA5855">
        <w:rPr>
          <w:rFonts w:ascii="Calibri" w:hAnsi="Calibri" w:cs="Calibri"/>
          <w:sz w:val="22"/>
          <w:szCs w:val="22"/>
        </w:rPr>
        <w:t xml:space="preserve"> se déclare comme personne tenue d’exécuter le plan de redressement judiciaire. </w:t>
      </w:r>
      <w:bookmarkEnd w:id="99"/>
    </w:p>
    <w:p w14:paraId="3A07ED10" w14:textId="77777777" w:rsidR="00C55F17" w:rsidRPr="00AA5855" w:rsidRDefault="00C55F17" w:rsidP="00AA5855">
      <w:pPr>
        <w:jc w:val="both"/>
        <w:rPr>
          <w:rFonts w:ascii="Calibri" w:hAnsi="Calibri" w:cs="Calibri"/>
          <w:sz w:val="22"/>
          <w:szCs w:val="22"/>
        </w:rPr>
      </w:pPr>
    </w:p>
    <w:p w14:paraId="329AAD8A" w14:textId="49B7674C" w:rsidR="00AA5855" w:rsidRPr="00AA5855" w:rsidRDefault="00AA5855" w:rsidP="00AA5855">
      <w:pPr>
        <w:jc w:val="right"/>
        <w:rPr>
          <w:rFonts w:ascii="Calibri" w:hAnsi="Calibri" w:cs="Calibri"/>
          <w:sz w:val="22"/>
          <w:szCs w:val="22"/>
        </w:rPr>
      </w:pPr>
      <w:r w:rsidRPr="00F12D0F">
        <w:rPr>
          <w:rFonts w:ascii="Calibri" w:hAnsi="Calibri" w:cs="Calibri"/>
          <w:bCs/>
          <w:sz w:val="22"/>
          <w:szCs w:val="22"/>
        </w:rPr>
        <w:t>À</w:t>
      </w:r>
      <w:r w:rsidRPr="00F12D0F">
        <w:rPr>
          <w:rFonts w:ascii="Calibri" w:hAnsi="Calibri" w:cs="Calibri"/>
          <w:sz w:val="22"/>
          <w:szCs w:val="22"/>
        </w:rPr>
        <w:t xml:space="preserve"> Paris, le </w:t>
      </w:r>
      <w:r w:rsidR="00C55F17">
        <w:rPr>
          <w:rFonts w:ascii="Calibri" w:hAnsi="Calibri" w:cs="Calibri"/>
          <w:sz w:val="22"/>
          <w:szCs w:val="22"/>
        </w:rPr>
        <w:t>2</w:t>
      </w:r>
      <w:r w:rsidR="00FB0548">
        <w:rPr>
          <w:rFonts w:ascii="Calibri" w:hAnsi="Calibri" w:cs="Calibri"/>
          <w:sz w:val="22"/>
          <w:szCs w:val="22"/>
        </w:rPr>
        <w:t>6</w:t>
      </w:r>
      <w:r w:rsidR="00C55F17">
        <w:rPr>
          <w:rFonts w:ascii="Calibri" w:hAnsi="Calibri" w:cs="Calibri"/>
          <w:sz w:val="22"/>
          <w:szCs w:val="22"/>
        </w:rPr>
        <w:t xml:space="preserve"> </w:t>
      </w:r>
      <w:r w:rsidR="00DA41B1">
        <w:rPr>
          <w:rFonts w:ascii="Calibri" w:hAnsi="Calibri" w:cs="Calibri"/>
          <w:sz w:val="22"/>
          <w:szCs w:val="22"/>
        </w:rPr>
        <w:t>février</w:t>
      </w:r>
      <w:r w:rsidR="00794A25" w:rsidRPr="00F12D0F">
        <w:rPr>
          <w:rFonts w:ascii="Calibri" w:hAnsi="Calibri" w:cs="Calibri"/>
          <w:sz w:val="22"/>
          <w:szCs w:val="22"/>
        </w:rPr>
        <w:t xml:space="preserve"> </w:t>
      </w:r>
      <w:r w:rsidR="00B67D8F" w:rsidRPr="00F12D0F">
        <w:rPr>
          <w:rFonts w:ascii="Calibri" w:hAnsi="Calibri" w:cs="Calibri"/>
          <w:sz w:val="22"/>
          <w:szCs w:val="22"/>
        </w:rPr>
        <w:t>202</w:t>
      </w:r>
      <w:r w:rsidR="00DA41B1">
        <w:rPr>
          <w:rFonts w:ascii="Calibri" w:hAnsi="Calibri" w:cs="Calibri"/>
          <w:sz w:val="22"/>
          <w:szCs w:val="22"/>
        </w:rPr>
        <w:t>6</w:t>
      </w:r>
    </w:p>
    <w:p w14:paraId="73004878" w14:textId="77777777" w:rsidR="00AA5855" w:rsidRPr="00AA5855" w:rsidRDefault="00AA5855" w:rsidP="00AA5855">
      <w:pPr>
        <w:jc w:val="right"/>
        <w:rPr>
          <w:rFonts w:ascii="Calibri" w:hAnsi="Calibri" w:cs="Calibri"/>
          <w:sz w:val="22"/>
          <w:szCs w:val="22"/>
        </w:rPr>
      </w:pPr>
    </w:p>
    <w:p w14:paraId="6CE90C6B" w14:textId="77777777" w:rsidR="00AA5855" w:rsidRPr="00AA5855" w:rsidRDefault="00AA5855" w:rsidP="00AA5855">
      <w:pPr>
        <w:jc w:val="right"/>
        <w:rPr>
          <w:rFonts w:ascii="Calibri" w:hAnsi="Calibri" w:cs="Calibri"/>
          <w:sz w:val="22"/>
          <w:szCs w:val="22"/>
        </w:rPr>
      </w:pPr>
    </w:p>
    <w:p w14:paraId="438E4335" w14:textId="77777777" w:rsidR="00AA5855" w:rsidRPr="00AA5855" w:rsidRDefault="00AA5855" w:rsidP="00AA5855">
      <w:pPr>
        <w:jc w:val="right"/>
        <w:rPr>
          <w:rFonts w:ascii="Calibri" w:hAnsi="Calibri" w:cs="Calibr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AA5855" w:rsidRPr="00F87563" w14:paraId="556F85A0" w14:textId="77777777" w:rsidTr="001865F1">
        <w:tc>
          <w:tcPr>
            <w:tcW w:w="4388" w:type="dxa"/>
            <w:tcBorders>
              <w:top w:val="single" w:sz="4" w:space="0" w:color="auto"/>
              <w:bottom w:val="single" w:sz="4" w:space="0" w:color="auto"/>
            </w:tcBorders>
          </w:tcPr>
          <w:p w14:paraId="43B5161B" w14:textId="06DBE0C7" w:rsidR="00AA5855" w:rsidRPr="00F87563" w:rsidRDefault="007C479C">
            <w:pPr>
              <w:rPr>
                <w:rFonts w:ascii="Calibri" w:hAnsi="Calibri" w:cs="Calibri"/>
                <w:b/>
                <w:bCs/>
                <w:sz w:val="22"/>
                <w:szCs w:val="22"/>
              </w:rPr>
            </w:pPr>
            <w:r w:rsidRPr="00F87563">
              <w:rPr>
                <w:rFonts w:ascii="Calibri" w:hAnsi="Calibri" w:cs="Calibri"/>
                <w:b/>
                <w:bCs/>
                <w:sz w:val="22"/>
                <w:szCs w:val="22"/>
              </w:rPr>
              <w:t xml:space="preserve">SOCIETE </w:t>
            </w:r>
            <w:r w:rsidR="00DA407C">
              <w:rPr>
                <w:rFonts w:ascii="Calibri" w:hAnsi="Calibri" w:cs="Calibri"/>
                <w:b/>
                <w:bCs/>
                <w:sz w:val="22"/>
                <w:szCs w:val="22"/>
              </w:rPr>
              <w:t>SCI TOLBIAC</w:t>
            </w:r>
          </w:p>
          <w:p w14:paraId="309ED5C9" w14:textId="487557EA" w:rsidR="00F87563" w:rsidRPr="005A07FB" w:rsidRDefault="00F87563" w:rsidP="00F87563">
            <w:pPr>
              <w:rPr>
                <w:rFonts w:ascii="Calibri" w:hAnsi="Calibri" w:cs="Calibri"/>
                <w:b/>
                <w:bCs/>
                <w:sz w:val="22"/>
                <w:szCs w:val="22"/>
              </w:rPr>
            </w:pPr>
            <w:r w:rsidRPr="000A28C2">
              <w:rPr>
                <w:rFonts w:ascii="Calibri" w:hAnsi="Calibri" w:cs="Calibri"/>
                <w:bCs/>
                <w:i/>
                <w:iCs/>
                <w:sz w:val="22"/>
                <w:szCs w:val="22"/>
              </w:rPr>
              <w:t>Représentée par s</w:t>
            </w:r>
            <w:r w:rsidR="00DA407C">
              <w:rPr>
                <w:rFonts w:ascii="Calibri" w:hAnsi="Calibri" w:cs="Calibri"/>
                <w:bCs/>
                <w:i/>
                <w:iCs/>
                <w:sz w:val="22"/>
                <w:szCs w:val="22"/>
              </w:rPr>
              <w:t xml:space="preserve">a Gérante, </w:t>
            </w:r>
            <w:r w:rsidRPr="000A28C2">
              <w:rPr>
                <w:rFonts w:ascii="Calibri" w:hAnsi="Calibri" w:cs="Calibri"/>
                <w:bCs/>
                <w:i/>
                <w:iCs/>
                <w:sz w:val="22"/>
                <w:szCs w:val="22"/>
              </w:rPr>
              <w:t>Madame Sindy Levy</w:t>
            </w:r>
          </w:p>
          <w:p w14:paraId="7D948C45" w14:textId="77777777" w:rsidR="00AA5855" w:rsidRPr="00F87563" w:rsidRDefault="00AA5855">
            <w:pPr>
              <w:jc w:val="center"/>
              <w:rPr>
                <w:rFonts w:ascii="Calibri" w:hAnsi="Calibri" w:cs="Calibri"/>
                <w:sz w:val="22"/>
                <w:szCs w:val="22"/>
              </w:rPr>
            </w:pPr>
          </w:p>
          <w:p w14:paraId="22FDE9DE" w14:textId="77777777" w:rsidR="001865F1" w:rsidRPr="00F87563" w:rsidRDefault="001865F1">
            <w:pPr>
              <w:jc w:val="center"/>
              <w:rPr>
                <w:rFonts w:ascii="Calibri" w:hAnsi="Calibri" w:cs="Calibri"/>
                <w:sz w:val="22"/>
                <w:szCs w:val="22"/>
              </w:rPr>
            </w:pPr>
          </w:p>
          <w:p w14:paraId="0044DF95" w14:textId="77777777" w:rsidR="00F12D0F" w:rsidRPr="00F87563" w:rsidRDefault="00F12D0F">
            <w:pPr>
              <w:jc w:val="center"/>
              <w:rPr>
                <w:rFonts w:ascii="Calibri" w:hAnsi="Calibri" w:cs="Calibri"/>
                <w:sz w:val="22"/>
                <w:szCs w:val="22"/>
              </w:rPr>
            </w:pPr>
          </w:p>
          <w:p w14:paraId="1445F72B" w14:textId="77777777" w:rsidR="001865F1" w:rsidRPr="00F87563" w:rsidRDefault="001865F1">
            <w:pPr>
              <w:jc w:val="center"/>
              <w:rPr>
                <w:rFonts w:ascii="Calibri" w:hAnsi="Calibri" w:cs="Calibri"/>
                <w:sz w:val="22"/>
                <w:szCs w:val="22"/>
              </w:rPr>
            </w:pPr>
          </w:p>
          <w:p w14:paraId="351DDB36" w14:textId="77777777" w:rsidR="001865F1" w:rsidRPr="00F87563" w:rsidRDefault="001865F1">
            <w:pPr>
              <w:jc w:val="center"/>
              <w:rPr>
                <w:rFonts w:ascii="Calibri" w:hAnsi="Calibri" w:cs="Calibri"/>
                <w:sz w:val="22"/>
                <w:szCs w:val="22"/>
              </w:rPr>
            </w:pPr>
          </w:p>
        </w:tc>
      </w:tr>
      <w:tr w:rsidR="00AB4266" w:rsidRPr="007C479C" w14:paraId="03A5B115" w14:textId="77777777" w:rsidTr="001865F1">
        <w:tc>
          <w:tcPr>
            <w:tcW w:w="4388" w:type="dxa"/>
            <w:tcBorders>
              <w:top w:val="single" w:sz="4" w:space="0" w:color="auto"/>
              <w:bottom w:val="single" w:sz="4" w:space="0" w:color="auto"/>
            </w:tcBorders>
          </w:tcPr>
          <w:p w14:paraId="6F62460F" w14:textId="77777777" w:rsidR="00691BFE" w:rsidRPr="005A07FB" w:rsidRDefault="00691BFE" w:rsidP="00691BFE">
            <w:pPr>
              <w:rPr>
                <w:rFonts w:ascii="Calibri" w:hAnsi="Calibri" w:cs="Calibri"/>
                <w:b/>
                <w:bCs/>
                <w:sz w:val="22"/>
                <w:szCs w:val="22"/>
              </w:rPr>
            </w:pPr>
            <w:r w:rsidRPr="005A07FB">
              <w:rPr>
                <w:rFonts w:ascii="Calibri" w:hAnsi="Calibri" w:cs="Calibri"/>
                <w:b/>
                <w:bCs/>
                <w:sz w:val="22"/>
                <w:szCs w:val="22"/>
              </w:rPr>
              <w:t>SOCIETE HOLDING FONCIERE DE L’IMMOBILIE</w:t>
            </w:r>
            <w:r>
              <w:rPr>
                <w:rFonts w:ascii="Calibri" w:hAnsi="Calibri" w:cs="Calibri"/>
                <w:b/>
                <w:bCs/>
                <w:sz w:val="22"/>
                <w:szCs w:val="22"/>
              </w:rPr>
              <w:t>R</w:t>
            </w:r>
          </w:p>
          <w:p w14:paraId="28269680" w14:textId="77777777" w:rsidR="00691BFE" w:rsidRPr="005A07FB" w:rsidRDefault="00691BFE" w:rsidP="00691BFE">
            <w:pPr>
              <w:rPr>
                <w:rFonts w:ascii="Calibri" w:hAnsi="Calibri" w:cs="Calibri"/>
                <w:b/>
                <w:bCs/>
                <w:sz w:val="22"/>
                <w:szCs w:val="22"/>
              </w:rPr>
            </w:pPr>
            <w:r w:rsidRPr="000A28C2">
              <w:rPr>
                <w:rFonts w:ascii="Calibri" w:hAnsi="Calibri" w:cs="Calibri"/>
                <w:bCs/>
                <w:i/>
                <w:iCs/>
                <w:sz w:val="22"/>
                <w:szCs w:val="22"/>
              </w:rPr>
              <w:t xml:space="preserve">Représentée par </w:t>
            </w:r>
            <w:r>
              <w:rPr>
                <w:rFonts w:ascii="Calibri" w:hAnsi="Calibri" w:cs="Calibri"/>
                <w:bCs/>
                <w:i/>
                <w:iCs/>
                <w:sz w:val="22"/>
                <w:szCs w:val="22"/>
              </w:rPr>
              <w:t>sa</w:t>
            </w:r>
            <w:r w:rsidRPr="000A28C2">
              <w:rPr>
                <w:rFonts w:ascii="Calibri" w:hAnsi="Calibri" w:cs="Calibri"/>
                <w:bCs/>
                <w:i/>
                <w:iCs/>
                <w:sz w:val="22"/>
                <w:szCs w:val="22"/>
              </w:rPr>
              <w:t xml:space="preserve"> Président</w:t>
            </w:r>
            <w:r>
              <w:rPr>
                <w:rFonts w:ascii="Calibri" w:hAnsi="Calibri" w:cs="Calibri"/>
                <w:bCs/>
                <w:i/>
                <w:iCs/>
                <w:sz w:val="22"/>
                <w:szCs w:val="22"/>
              </w:rPr>
              <w:t>e</w:t>
            </w:r>
            <w:r w:rsidRPr="000A28C2">
              <w:rPr>
                <w:rFonts w:ascii="Calibri" w:hAnsi="Calibri" w:cs="Calibri"/>
                <w:bCs/>
                <w:i/>
                <w:iCs/>
                <w:sz w:val="22"/>
                <w:szCs w:val="22"/>
              </w:rPr>
              <w:t xml:space="preserve"> Sindy Management, elle-même représentée par Madame Sindy Levy</w:t>
            </w:r>
          </w:p>
          <w:p w14:paraId="2E7A1496" w14:textId="77777777" w:rsidR="00AB4266" w:rsidRDefault="00AB4266">
            <w:pPr>
              <w:rPr>
                <w:rFonts w:ascii="Calibri" w:hAnsi="Calibri" w:cs="Calibri"/>
                <w:b/>
                <w:bCs/>
                <w:sz w:val="22"/>
                <w:szCs w:val="22"/>
              </w:rPr>
            </w:pPr>
          </w:p>
          <w:p w14:paraId="62F85179" w14:textId="77777777" w:rsidR="00AB4266" w:rsidRDefault="00AB4266">
            <w:pPr>
              <w:rPr>
                <w:rFonts w:ascii="Calibri" w:hAnsi="Calibri" w:cs="Calibri"/>
                <w:b/>
                <w:bCs/>
                <w:sz w:val="22"/>
                <w:szCs w:val="22"/>
              </w:rPr>
            </w:pPr>
          </w:p>
          <w:p w14:paraId="3C4B57C0" w14:textId="77777777" w:rsidR="00AB4266" w:rsidRDefault="00AB4266">
            <w:pPr>
              <w:rPr>
                <w:rFonts w:ascii="Calibri" w:hAnsi="Calibri" w:cs="Calibri"/>
                <w:b/>
                <w:bCs/>
                <w:sz w:val="22"/>
                <w:szCs w:val="22"/>
              </w:rPr>
            </w:pPr>
          </w:p>
          <w:p w14:paraId="37EC69DA" w14:textId="77777777" w:rsidR="00AB4266" w:rsidRPr="007C479C" w:rsidRDefault="00AB4266">
            <w:pPr>
              <w:rPr>
                <w:rFonts w:ascii="Calibri" w:hAnsi="Calibri" w:cs="Calibri"/>
                <w:b/>
                <w:bCs/>
                <w:sz w:val="22"/>
                <w:szCs w:val="22"/>
              </w:rPr>
            </w:pPr>
          </w:p>
        </w:tc>
      </w:tr>
      <w:tr w:rsidR="001865F1" w:rsidRPr="00AA5855" w14:paraId="29B7D10C" w14:textId="77777777">
        <w:tc>
          <w:tcPr>
            <w:tcW w:w="4388" w:type="dxa"/>
            <w:tcBorders>
              <w:top w:val="single" w:sz="4" w:space="0" w:color="auto"/>
            </w:tcBorders>
          </w:tcPr>
          <w:p w14:paraId="30A2BC95" w14:textId="77777777" w:rsidR="001865F1" w:rsidRDefault="001865F1">
            <w:pPr>
              <w:rPr>
                <w:rFonts w:ascii="Calibri" w:hAnsi="Calibri" w:cs="Calibri"/>
                <w:b/>
                <w:bCs/>
                <w:sz w:val="22"/>
                <w:szCs w:val="22"/>
              </w:rPr>
            </w:pPr>
            <w:r>
              <w:rPr>
                <w:rFonts w:ascii="Calibri" w:hAnsi="Calibri" w:cs="Calibri"/>
                <w:b/>
                <w:bCs/>
                <w:sz w:val="22"/>
                <w:szCs w:val="22"/>
              </w:rPr>
              <w:t>SELARL 2M&amp;Associés</w:t>
            </w:r>
          </w:p>
          <w:p w14:paraId="18EE55E0" w14:textId="77777777" w:rsidR="001865F1" w:rsidRDefault="001865F1">
            <w:pPr>
              <w:rPr>
                <w:rFonts w:ascii="Calibri" w:hAnsi="Calibri" w:cs="Calibri"/>
                <w:sz w:val="22"/>
                <w:szCs w:val="22"/>
              </w:rPr>
            </w:pPr>
            <w:r w:rsidRPr="001865F1">
              <w:rPr>
                <w:rFonts w:ascii="Calibri" w:hAnsi="Calibri" w:cs="Calibri"/>
                <w:sz w:val="22"/>
                <w:szCs w:val="22"/>
              </w:rPr>
              <w:t xml:space="preserve">En la personne de Maître Marine </w:t>
            </w:r>
            <w:r w:rsidR="00276AA3">
              <w:rPr>
                <w:rFonts w:ascii="Calibri" w:hAnsi="Calibri" w:cs="Calibri"/>
                <w:sz w:val="22"/>
                <w:szCs w:val="22"/>
              </w:rPr>
              <w:t>PACE</w:t>
            </w:r>
          </w:p>
          <w:p w14:paraId="0ED558AE" w14:textId="680E16EA" w:rsidR="00F12D0F" w:rsidRPr="001865F1" w:rsidRDefault="00F12D0F">
            <w:pPr>
              <w:rPr>
                <w:rFonts w:ascii="Calibri" w:hAnsi="Calibri" w:cs="Calibri"/>
                <w:sz w:val="22"/>
                <w:szCs w:val="22"/>
              </w:rPr>
            </w:pPr>
            <w:r>
              <w:rPr>
                <w:rFonts w:ascii="Calibri" w:hAnsi="Calibri" w:cs="Calibri"/>
                <w:sz w:val="22"/>
                <w:szCs w:val="22"/>
              </w:rPr>
              <w:t>Administrateur judiciaire</w:t>
            </w:r>
          </w:p>
        </w:tc>
      </w:tr>
    </w:tbl>
    <w:p w14:paraId="550A0DF6" w14:textId="77777777" w:rsidR="00533BFF" w:rsidRDefault="00533BFF" w:rsidP="00AA5855">
      <w:pPr>
        <w:rPr>
          <w:rFonts w:ascii="Calibri" w:hAnsi="Calibri" w:cs="Calibri"/>
          <w:sz w:val="22"/>
          <w:szCs w:val="22"/>
        </w:rPr>
        <w:sectPr w:rsidR="00533BFF">
          <w:pgSz w:w="11906" w:h="16838"/>
          <w:pgMar w:top="1417" w:right="1417" w:bottom="1417" w:left="1417" w:header="708" w:footer="708" w:gutter="0"/>
          <w:cols w:space="708"/>
          <w:docGrid w:linePitch="360"/>
        </w:sectPr>
      </w:pPr>
    </w:p>
    <w:p w14:paraId="4AF8F47A" w14:textId="77777777" w:rsidR="00C55F17" w:rsidRDefault="00C55F17" w:rsidP="00A845CD">
      <w:pPr>
        <w:jc w:val="center"/>
        <w:rPr>
          <w:rFonts w:ascii="Calibri" w:hAnsi="Calibri" w:cs="Calibri"/>
          <w:b/>
          <w:bCs/>
          <w:sz w:val="22"/>
          <w:szCs w:val="22"/>
        </w:rPr>
      </w:pPr>
    </w:p>
    <w:p w14:paraId="70782D9F" w14:textId="77777777" w:rsidR="00C55F17" w:rsidRDefault="00C55F17" w:rsidP="00A845CD">
      <w:pPr>
        <w:jc w:val="center"/>
        <w:rPr>
          <w:rFonts w:ascii="Calibri" w:hAnsi="Calibri" w:cs="Calibri"/>
          <w:b/>
          <w:bCs/>
          <w:sz w:val="22"/>
          <w:szCs w:val="22"/>
        </w:rPr>
      </w:pPr>
    </w:p>
    <w:p w14:paraId="06932B0C" w14:textId="5D1E5A39" w:rsidR="00A845CD" w:rsidRPr="00A838BB" w:rsidRDefault="00A845CD" w:rsidP="00A845CD">
      <w:pPr>
        <w:jc w:val="center"/>
        <w:rPr>
          <w:rFonts w:ascii="Calibri" w:hAnsi="Calibri" w:cs="Calibri"/>
          <w:b/>
          <w:bCs/>
          <w:sz w:val="22"/>
          <w:szCs w:val="22"/>
        </w:rPr>
      </w:pPr>
      <w:r>
        <w:rPr>
          <w:rFonts w:ascii="Calibri" w:hAnsi="Calibri" w:cs="Calibri"/>
          <w:b/>
          <w:bCs/>
          <w:sz w:val="22"/>
          <w:szCs w:val="22"/>
        </w:rPr>
        <w:t>LISTE DES ANNEXES</w:t>
      </w:r>
    </w:p>
    <w:p w14:paraId="56E73251" w14:textId="77777777" w:rsidR="00A845CD" w:rsidRDefault="00A845CD" w:rsidP="00A845CD">
      <w:pPr>
        <w:rPr>
          <w:rFonts w:ascii="Calibri" w:hAnsi="Calibri" w:cs="Calibri"/>
          <w:sz w:val="22"/>
          <w:szCs w:val="22"/>
        </w:rPr>
      </w:pPr>
    </w:p>
    <w:p w14:paraId="7E8227C9" w14:textId="77777777" w:rsidR="00A845CD" w:rsidRDefault="00A845CD" w:rsidP="00A845CD">
      <w:pPr>
        <w:ind w:left="567"/>
        <w:rPr>
          <w:rFonts w:ascii="Calibri" w:hAnsi="Calibri" w:cs="Calibri"/>
          <w:sz w:val="22"/>
          <w:szCs w:val="22"/>
        </w:rPr>
      </w:pPr>
      <w:r>
        <w:rPr>
          <w:rFonts w:ascii="Calibri" w:hAnsi="Calibri" w:cs="Calibri"/>
          <w:b/>
          <w:bCs/>
          <w:sz w:val="22"/>
          <w:szCs w:val="22"/>
        </w:rPr>
        <w:t>Annexe 1.</w:t>
      </w:r>
      <w:r>
        <w:rPr>
          <w:rFonts w:ascii="Calibri" w:hAnsi="Calibri" w:cs="Calibri"/>
          <w:sz w:val="22"/>
          <w:szCs w:val="22"/>
        </w:rPr>
        <w:tab/>
        <w:t>Comptes annuels 2024 de la Société</w:t>
      </w:r>
    </w:p>
    <w:p w14:paraId="623D4C78" w14:textId="77777777" w:rsidR="00A845CD" w:rsidRDefault="00A845CD" w:rsidP="00A845CD">
      <w:pPr>
        <w:ind w:left="567"/>
        <w:rPr>
          <w:rFonts w:ascii="Calibri" w:hAnsi="Calibri" w:cs="Calibri"/>
          <w:sz w:val="22"/>
          <w:szCs w:val="22"/>
        </w:rPr>
      </w:pPr>
      <w:r>
        <w:rPr>
          <w:rFonts w:ascii="Calibri" w:hAnsi="Calibri" w:cs="Calibri"/>
          <w:b/>
          <w:bCs/>
          <w:sz w:val="22"/>
          <w:szCs w:val="22"/>
        </w:rPr>
        <w:t>Annexe 2.</w:t>
      </w:r>
      <w:r>
        <w:rPr>
          <w:rFonts w:ascii="Calibri" w:hAnsi="Calibri" w:cs="Calibri"/>
          <w:sz w:val="22"/>
          <w:szCs w:val="22"/>
        </w:rPr>
        <w:tab/>
        <w:t>Attestation de l’expert-comptable</w:t>
      </w:r>
    </w:p>
    <w:p w14:paraId="64AB7A92" w14:textId="77777777" w:rsidR="00A845CD" w:rsidRPr="007E11F3" w:rsidRDefault="00A845CD" w:rsidP="00A845CD">
      <w:pPr>
        <w:ind w:left="567"/>
        <w:rPr>
          <w:rFonts w:ascii="Calibri" w:hAnsi="Calibri" w:cs="Calibri"/>
          <w:sz w:val="22"/>
          <w:szCs w:val="22"/>
        </w:rPr>
      </w:pPr>
      <w:r>
        <w:rPr>
          <w:rFonts w:ascii="Calibri" w:hAnsi="Calibri" w:cs="Calibri"/>
          <w:b/>
          <w:bCs/>
          <w:sz w:val="22"/>
          <w:szCs w:val="22"/>
        </w:rPr>
        <w:t>Annexe 3.</w:t>
      </w:r>
      <w:r>
        <w:rPr>
          <w:rFonts w:ascii="Calibri" w:hAnsi="Calibri" w:cs="Calibri"/>
          <w:b/>
          <w:bCs/>
          <w:sz w:val="22"/>
          <w:szCs w:val="22"/>
        </w:rPr>
        <w:tab/>
      </w:r>
      <w:r>
        <w:rPr>
          <w:rFonts w:ascii="Calibri" w:hAnsi="Calibri" w:cs="Calibri"/>
          <w:sz w:val="22"/>
          <w:szCs w:val="22"/>
        </w:rPr>
        <w:t>Rapport d’expertise du cabinet Colomer Expertises</w:t>
      </w:r>
    </w:p>
    <w:p w14:paraId="47854DAE" w14:textId="6CDE6C4A" w:rsidR="00AA5855" w:rsidRPr="00AA5855" w:rsidRDefault="00AA5855" w:rsidP="00AA5855">
      <w:pPr>
        <w:rPr>
          <w:rFonts w:ascii="Calibri" w:hAnsi="Calibri" w:cs="Calibri"/>
          <w:sz w:val="22"/>
          <w:szCs w:val="22"/>
        </w:rPr>
      </w:pPr>
    </w:p>
    <w:p w14:paraId="5584F489" w14:textId="77777777" w:rsidR="00AA5855" w:rsidRPr="00AA5855" w:rsidRDefault="00AA5855">
      <w:pPr>
        <w:rPr>
          <w:rFonts w:ascii="Calibri" w:hAnsi="Calibri" w:cs="Calibri"/>
          <w:sz w:val="22"/>
          <w:szCs w:val="22"/>
        </w:rPr>
      </w:pPr>
    </w:p>
    <w:sectPr w:rsidR="00AA5855" w:rsidRPr="00AA58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9C9B" w14:textId="77777777" w:rsidR="002D7338" w:rsidRDefault="002D7338">
      <w:r>
        <w:separator/>
      </w:r>
    </w:p>
  </w:endnote>
  <w:endnote w:type="continuationSeparator" w:id="0">
    <w:p w14:paraId="74364DB5" w14:textId="77777777" w:rsidR="002D7338" w:rsidRDefault="002D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9380" w14:textId="35C67904" w:rsidR="0025342B" w:rsidRPr="0025342B" w:rsidRDefault="00A515CB" w:rsidP="0025342B">
    <w:pPr>
      <w:tabs>
        <w:tab w:val="right" w:pos="9498"/>
      </w:tabs>
      <w:overflowPunct w:val="0"/>
      <w:autoSpaceDE w:val="0"/>
      <w:autoSpaceDN w:val="0"/>
      <w:adjustRightInd w:val="0"/>
      <w:textAlignment w:val="baseline"/>
      <w:rPr>
        <w:rFonts w:ascii="Calibri" w:hAnsi="Calibri" w:cs="Calibri"/>
        <w:sz w:val="18"/>
        <w:szCs w:val="18"/>
      </w:rPr>
    </w:pPr>
    <w:r w:rsidRPr="00A515CB">
      <w:rPr>
        <w:rFonts w:ascii="Calibri" w:hAnsi="Calibri" w:cs="Calibri"/>
        <w:sz w:val="18"/>
        <w:szCs w:val="18"/>
      </w:rPr>
      <w:t>Projet de plan de redressement par voie de continuatio</w:t>
    </w:r>
    <w:r w:rsidR="0025342B" w:rsidRPr="0025342B">
      <w:rPr>
        <w:rFonts w:ascii="Calibri" w:hAnsi="Calibri" w:cs="Calibri"/>
        <w:sz w:val="18"/>
        <w:szCs w:val="18"/>
      </w:rPr>
      <w:t>n</w:t>
    </w:r>
    <w:r w:rsidR="0025342B" w:rsidRPr="0025342B">
      <w:rPr>
        <w:rFonts w:ascii="Calibri" w:hAnsi="Calibri" w:cs="Calibri"/>
        <w:sz w:val="18"/>
        <w:szCs w:val="18"/>
      </w:rPr>
      <w:tab/>
      <w:t xml:space="preserve"> </w:t>
    </w:r>
    <w:r w:rsidR="0025342B" w:rsidRPr="0025342B">
      <w:rPr>
        <w:rFonts w:ascii="Calibri" w:hAnsi="Calibri"/>
        <w:sz w:val="18"/>
        <w:szCs w:val="18"/>
      </w:rPr>
      <w:fldChar w:fldCharType="begin"/>
    </w:r>
    <w:r w:rsidR="0025342B" w:rsidRPr="0025342B">
      <w:rPr>
        <w:rFonts w:ascii="Calibri" w:hAnsi="Calibri"/>
        <w:sz w:val="18"/>
        <w:szCs w:val="18"/>
      </w:rPr>
      <w:instrText>PAGE   \* MERGEFORMAT</w:instrText>
    </w:r>
    <w:r w:rsidR="0025342B" w:rsidRPr="0025342B">
      <w:rPr>
        <w:rFonts w:ascii="Calibri" w:hAnsi="Calibri"/>
        <w:sz w:val="18"/>
        <w:szCs w:val="18"/>
      </w:rPr>
      <w:fldChar w:fldCharType="separate"/>
    </w:r>
    <w:r w:rsidR="0025342B">
      <w:rPr>
        <w:rFonts w:ascii="Calibri" w:hAnsi="Calibri"/>
        <w:sz w:val="18"/>
        <w:szCs w:val="18"/>
      </w:rPr>
      <w:t>1</w:t>
    </w:r>
    <w:r w:rsidR="0025342B" w:rsidRPr="0025342B">
      <w:rPr>
        <w:rFonts w:ascii="Calibri" w:hAnsi="Calibri"/>
        <w:sz w:val="18"/>
        <w:szCs w:val="18"/>
      </w:rPr>
      <w:fldChar w:fldCharType="end"/>
    </w:r>
    <w:r w:rsidR="0025342B" w:rsidRPr="0025342B">
      <w:rPr>
        <w:rFonts w:ascii="Calibri" w:hAnsi="Calibri"/>
        <w:sz w:val="18"/>
        <w:szCs w:val="18"/>
      </w:rPr>
      <w:t>/</w:t>
    </w:r>
    <w:r w:rsidR="0025342B" w:rsidRPr="0025342B">
      <w:rPr>
        <w:rFonts w:ascii="Calibri" w:hAnsi="Calibri"/>
        <w:sz w:val="18"/>
        <w:szCs w:val="18"/>
      </w:rPr>
      <w:fldChar w:fldCharType="begin"/>
    </w:r>
    <w:r w:rsidR="0025342B" w:rsidRPr="0025342B">
      <w:rPr>
        <w:rFonts w:ascii="Calibri" w:hAnsi="Calibri"/>
        <w:sz w:val="18"/>
        <w:szCs w:val="18"/>
      </w:rPr>
      <w:instrText xml:space="preserve"> NUMPAGES   \* MERGEFORMAT </w:instrText>
    </w:r>
    <w:r w:rsidR="0025342B" w:rsidRPr="0025342B">
      <w:rPr>
        <w:rFonts w:ascii="Calibri" w:hAnsi="Calibri"/>
        <w:sz w:val="18"/>
        <w:szCs w:val="18"/>
      </w:rPr>
      <w:fldChar w:fldCharType="separate"/>
    </w:r>
    <w:r w:rsidR="0025342B">
      <w:rPr>
        <w:rFonts w:ascii="Calibri" w:hAnsi="Calibri"/>
        <w:sz w:val="18"/>
        <w:szCs w:val="18"/>
      </w:rPr>
      <w:t>19</w:t>
    </w:r>
    <w:r w:rsidR="0025342B" w:rsidRPr="0025342B">
      <w:rPr>
        <w:rFonts w:ascii="Calibri" w:hAnsi="Calibri"/>
        <w:sz w:val="18"/>
        <w:szCs w:val="18"/>
      </w:rPr>
      <w:fldChar w:fldCharType="end"/>
    </w:r>
  </w:p>
  <w:p w14:paraId="2A64BCF7" w14:textId="588A48C5" w:rsidR="00A32229" w:rsidRPr="0025342B" w:rsidRDefault="0025342B" w:rsidP="0025342B">
    <w:pPr>
      <w:tabs>
        <w:tab w:val="center" w:pos="4536"/>
        <w:tab w:val="right" w:pos="9498"/>
      </w:tabs>
      <w:overflowPunct w:val="0"/>
      <w:autoSpaceDE w:val="0"/>
      <w:autoSpaceDN w:val="0"/>
      <w:adjustRightInd w:val="0"/>
      <w:textAlignment w:val="baseline"/>
      <w:rPr>
        <w:rFonts w:ascii="Calibri" w:hAnsi="Calibri"/>
        <w:sz w:val="18"/>
        <w:szCs w:val="18"/>
      </w:rPr>
    </w:pPr>
    <w:r w:rsidRPr="0025342B">
      <w:rPr>
        <w:rFonts w:ascii="Calibri" w:hAnsi="Calibri" w:cs="Calibri"/>
        <w:sz w:val="18"/>
        <w:szCs w:val="18"/>
      </w:rPr>
      <w:t xml:space="preserve">Redressement Judiciaire – </w:t>
    </w:r>
    <w:r w:rsidR="001D2AEF">
      <w:rPr>
        <w:rFonts w:ascii="Calibri" w:hAnsi="Calibri" w:cs="Calibri"/>
        <w:sz w:val="18"/>
        <w:szCs w:val="18"/>
      </w:rPr>
      <w:t>SCI TOLBIAC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220B" w14:textId="12F7B28F" w:rsidR="00A845CD" w:rsidRPr="00A845CD" w:rsidRDefault="00A845CD" w:rsidP="00A845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D9A0" w14:textId="77777777" w:rsidR="002D7338" w:rsidRDefault="002D7338">
      <w:r>
        <w:separator/>
      </w:r>
    </w:p>
  </w:footnote>
  <w:footnote w:type="continuationSeparator" w:id="0">
    <w:p w14:paraId="1619BD68" w14:textId="77777777" w:rsidR="002D7338" w:rsidRDefault="002D7338">
      <w:r>
        <w:continuationSeparator/>
      </w:r>
    </w:p>
  </w:footnote>
  <w:footnote w:id="1">
    <w:p w14:paraId="63E52B50" w14:textId="6A5F6136" w:rsidR="00B02AAB" w:rsidRPr="00C82C7D" w:rsidRDefault="00B02AAB" w:rsidP="00EE3C86">
      <w:pPr>
        <w:pStyle w:val="Notedebasdepage"/>
        <w:rPr>
          <w:i/>
          <w:iCs/>
          <w:sz w:val="18"/>
          <w:szCs w:val="18"/>
        </w:rPr>
      </w:pPr>
      <w:r w:rsidRPr="00C82C7D">
        <w:rPr>
          <w:rStyle w:val="Appelnotedebasdep"/>
          <w:i/>
          <w:iCs/>
          <w:sz w:val="18"/>
          <w:szCs w:val="18"/>
        </w:rPr>
        <w:footnoteRef/>
      </w:r>
      <w:r w:rsidRPr="00C82C7D">
        <w:rPr>
          <w:i/>
          <w:iCs/>
          <w:sz w:val="18"/>
          <w:szCs w:val="18"/>
        </w:rPr>
        <w:t xml:space="preserve"> Suivant l’état du passif établi par le mandataire judiciaire en date du 26 janvier 2026</w:t>
      </w:r>
    </w:p>
  </w:footnote>
  <w:footnote w:id="2">
    <w:p w14:paraId="65166F06" w14:textId="77777777" w:rsidR="00FB0548" w:rsidRDefault="00FB0548" w:rsidP="00FB0548">
      <w:pPr>
        <w:pStyle w:val="Notedebasdepage"/>
      </w:pPr>
      <w:r>
        <w:rPr>
          <w:rStyle w:val="Appelnotedebasdep"/>
        </w:rPr>
        <w:footnoteRef/>
      </w:r>
      <w:r>
        <w:t xml:space="preserve"> </w:t>
      </w:r>
      <w:r w:rsidRPr="007E2D1D">
        <w:rPr>
          <w:sz w:val="18"/>
          <w:szCs w:val="18"/>
        </w:rPr>
        <w:t>Sur les 30 sociétés en redressement judiciaire, la conversion en liquidation judiciaire de 3 d’entre elles va être sollicité</w:t>
      </w:r>
      <w:r>
        <w:rPr>
          <w:sz w:val="18"/>
          <w:szCs w:val="18"/>
        </w:rPr>
        <w:t>e</w:t>
      </w:r>
      <w:r w:rsidRPr="007E2D1D">
        <w:rPr>
          <w:sz w:val="18"/>
          <w:szCs w:val="18"/>
        </w:rPr>
        <w:t xml:space="preserve"> concomitamment à la présentation</w:t>
      </w:r>
      <w:r>
        <w:rPr>
          <w:sz w:val="18"/>
          <w:szCs w:val="18"/>
        </w:rPr>
        <w:t xml:space="preserve"> des projets de plans de redressement pour les 27 autres entités du Groupe.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1C9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A3EA8"/>
    <w:multiLevelType w:val="hybridMultilevel"/>
    <w:tmpl w:val="E8548336"/>
    <w:lvl w:ilvl="0" w:tplc="53C2BD4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B5D3B"/>
    <w:multiLevelType w:val="hybridMultilevel"/>
    <w:tmpl w:val="C980AED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D4262F"/>
    <w:multiLevelType w:val="hybridMultilevel"/>
    <w:tmpl w:val="31529B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A3617B"/>
    <w:multiLevelType w:val="multilevel"/>
    <w:tmpl w:val="37D2D070"/>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E41EF2"/>
    <w:multiLevelType w:val="hybridMultilevel"/>
    <w:tmpl w:val="E586DE56"/>
    <w:lvl w:ilvl="0" w:tplc="372E600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A8796B"/>
    <w:multiLevelType w:val="hybridMultilevel"/>
    <w:tmpl w:val="EB6AC140"/>
    <w:lvl w:ilvl="0" w:tplc="9A845818">
      <w:start w:val="1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1E6CC0"/>
    <w:multiLevelType w:val="hybridMultilevel"/>
    <w:tmpl w:val="4704D9B8"/>
    <w:lvl w:ilvl="0" w:tplc="53C2BD4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583A69"/>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336F94"/>
    <w:multiLevelType w:val="hybridMultilevel"/>
    <w:tmpl w:val="72906D2C"/>
    <w:lvl w:ilvl="0" w:tplc="4DAA0B4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DF56E9A"/>
    <w:multiLevelType w:val="hybridMultilevel"/>
    <w:tmpl w:val="D2D27CE8"/>
    <w:lvl w:ilvl="0" w:tplc="1ECCF248">
      <w:start w:val="1"/>
      <w:numFmt w:val="bullet"/>
      <w:lvlText w:val="-"/>
      <w:lvlJc w:val="left"/>
      <w:pPr>
        <w:ind w:left="721" w:hanging="360"/>
      </w:pPr>
      <w:rPr>
        <w:rFonts w:ascii="Calibri" w:hAnsi="Calibri" w:hint="default"/>
      </w:rPr>
    </w:lvl>
    <w:lvl w:ilvl="1" w:tplc="040C0003">
      <w:start w:val="1"/>
      <w:numFmt w:val="bullet"/>
      <w:lvlText w:val="o"/>
      <w:lvlJc w:val="left"/>
      <w:pPr>
        <w:ind w:left="1441" w:hanging="360"/>
      </w:pPr>
      <w:rPr>
        <w:rFonts w:ascii="Courier New" w:hAnsi="Courier New" w:cs="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1" w15:restartNumberingAfterBreak="0">
    <w:nsid w:val="4E513F7E"/>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63A3B01"/>
    <w:multiLevelType w:val="hybridMultilevel"/>
    <w:tmpl w:val="ABC2B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710C7"/>
    <w:multiLevelType w:val="hybridMultilevel"/>
    <w:tmpl w:val="DA2C64A4"/>
    <w:lvl w:ilvl="0" w:tplc="040C000B">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0B3E79"/>
    <w:multiLevelType w:val="hybridMultilevel"/>
    <w:tmpl w:val="B994EB90"/>
    <w:lvl w:ilvl="0" w:tplc="372E600E">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4F0387"/>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087A8E"/>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FE4D44"/>
    <w:multiLevelType w:val="multilevel"/>
    <w:tmpl w:val="D1044464"/>
    <w:lvl w:ilvl="0">
      <w:start w:val="8"/>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6156DCE"/>
    <w:multiLevelType w:val="multilevel"/>
    <w:tmpl w:val="C680C214"/>
    <w:lvl w:ilvl="0">
      <w:start w:val="1"/>
      <w:numFmt w:val="decimal"/>
      <w:lvlText w:val="%1."/>
      <w:lvlJc w:val="left"/>
      <w:pPr>
        <w:ind w:left="360" w:hanging="360"/>
      </w:pPr>
      <w:rPr>
        <w:rFonts w:ascii="Calibri" w:hAnsi="Calibri" w:hint="default"/>
        <w:b/>
        <w:i w:val="0"/>
        <w:strike w:val="0"/>
        <w:dstrike w:val="0"/>
        <w:vanish w:val="0"/>
        <w:color w:val="000000"/>
        <w:sz w:val="24"/>
        <w:szCs w:val="32"/>
        <w:u w:val="none"/>
        <w:vertAlign w:val="baseline"/>
      </w:rPr>
    </w:lvl>
    <w:lvl w:ilvl="1">
      <w:start w:val="1"/>
      <w:numFmt w:val="decimal"/>
      <w:lvlText w:val="%1.%2"/>
      <w:lvlJc w:val="left"/>
      <w:pPr>
        <w:ind w:left="576" w:hanging="576"/>
      </w:pPr>
      <w:rPr>
        <w:rFonts w:ascii="Calibri" w:hAnsi="Calibri" w:cs="Calibri" w:hint="default"/>
        <w:b/>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FB63FA"/>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C000878"/>
    <w:multiLevelType w:val="multilevel"/>
    <w:tmpl w:val="13808AA4"/>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2E55DC"/>
    <w:multiLevelType w:val="hybridMultilevel"/>
    <w:tmpl w:val="64B290DC"/>
    <w:lvl w:ilvl="0" w:tplc="BBE826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E35752"/>
    <w:multiLevelType w:val="hybridMultilevel"/>
    <w:tmpl w:val="3606DB90"/>
    <w:lvl w:ilvl="0" w:tplc="372E600E">
      <w:numFmt w:val="bullet"/>
      <w:lvlText w:val="-"/>
      <w:lvlJc w:val="left"/>
      <w:pPr>
        <w:ind w:left="1120" w:hanging="360"/>
      </w:pPr>
      <w:rPr>
        <w:rFonts w:ascii="Calibri" w:eastAsia="Times New Roman" w:hAnsi="Calibri" w:cs="Calibri" w:hint="default"/>
      </w:rPr>
    </w:lvl>
    <w:lvl w:ilvl="1" w:tplc="040C0003">
      <w:start w:val="1"/>
      <w:numFmt w:val="bullet"/>
      <w:lvlText w:val="o"/>
      <w:lvlJc w:val="left"/>
      <w:pPr>
        <w:ind w:left="1840" w:hanging="360"/>
      </w:pPr>
      <w:rPr>
        <w:rFonts w:ascii="Courier New" w:hAnsi="Courier New" w:cs="Courier New" w:hint="default"/>
      </w:rPr>
    </w:lvl>
    <w:lvl w:ilvl="2" w:tplc="040C0005">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23" w15:restartNumberingAfterBreak="0">
    <w:nsid w:val="73DC061F"/>
    <w:multiLevelType w:val="hybridMultilevel"/>
    <w:tmpl w:val="E3D61450"/>
    <w:lvl w:ilvl="0" w:tplc="262EF58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6197E8B"/>
    <w:multiLevelType w:val="hybridMultilevel"/>
    <w:tmpl w:val="92DC66FC"/>
    <w:lvl w:ilvl="0" w:tplc="372E600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BA0CBE"/>
    <w:multiLevelType w:val="hybridMultilevel"/>
    <w:tmpl w:val="48E040A2"/>
    <w:lvl w:ilvl="0" w:tplc="0DF4A396">
      <w:start w:val="16"/>
      <w:numFmt w:val="bullet"/>
      <w:lvlText w:val=""/>
      <w:lvlJc w:val="left"/>
      <w:pPr>
        <w:ind w:left="337" w:hanging="360"/>
      </w:pPr>
      <w:rPr>
        <w:rFonts w:ascii="Symbol" w:eastAsia="Times New Roman" w:hAnsi="Symbol" w:cs="Times New Roman" w:hint="default"/>
      </w:rPr>
    </w:lvl>
    <w:lvl w:ilvl="1" w:tplc="040C0003" w:tentative="1">
      <w:start w:val="1"/>
      <w:numFmt w:val="bullet"/>
      <w:lvlText w:val="o"/>
      <w:lvlJc w:val="left"/>
      <w:pPr>
        <w:ind w:left="1057" w:hanging="360"/>
      </w:pPr>
      <w:rPr>
        <w:rFonts w:ascii="Courier New" w:hAnsi="Courier New" w:cs="Courier New" w:hint="default"/>
      </w:rPr>
    </w:lvl>
    <w:lvl w:ilvl="2" w:tplc="040C0005">
      <w:start w:val="1"/>
      <w:numFmt w:val="bullet"/>
      <w:lvlText w:val=""/>
      <w:lvlJc w:val="left"/>
      <w:pPr>
        <w:ind w:left="1777" w:hanging="360"/>
      </w:pPr>
      <w:rPr>
        <w:rFonts w:ascii="Wingdings" w:hAnsi="Wingdings" w:hint="default"/>
      </w:rPr>
    </w:lvl>
    <w:lvl w:ilvl="3" w:tplc="040C0001" w:tentative="1">
      <w:start w:val="1"/>
      <w:numFmt w:val="bullet"/>
      <w:lvlText w:val=""/>
      <w:lvlJc w:val="left"/>
      <w:pPr>
        <w:ind w:left="2497" w:hanging="360"/>
      </w:pPr>
      <w:rPr>
        <w:rFonts w:ascii="Symbol" w:hAnsi="Symbol" w:hint="default"/>
      </w:rPr>
    </w:lvl>
    <w:lvl w:ilvl="4" w:tplc="040C0003" w:tentative="1">
      <w:start w:val="1"/>
      <w:numFmt w:val="bullet"/>
      <w:lvlText w:val="o"/>
      <w:lvlJc w:val="left"/>
      <w:pPr>
        <w:ind w:left="3217" w:hanging="360"/>
      </w:pPr>
      <w:rPr>
        <w:rFonts w:ascii="Courier New" w:hAnsi="Courier New" w:cs="Courier New" w:hint="default"/>
      </w:rPr>
    </w:lvl>
    <w:lvl w:ilvl="5" w:tplc="040C0005" w:tentative="1">
      <w:start w:val="1"/>
      <w:numFmt w:val="bullet"/>
      <w:lvlText w:val=""/>
      <w:lvlJc w:val="left"/>
      <w:pPr>
        <w:ind w:left="3937" w:hanging="360"/>
      </w:pPr>
      <w:rPr>
        <w:rFonts w:ascii="Wingdings" w:hAnsi="Wingdings" w:hint="default"/>
      </w:rPr>
    </w:lvl>
    <w:lvl w:ilvl="6" w:tplc="040C0001" w:tentative="1">
      <w:start w:val="1"/>
      <w:numFmt w:val="bullet"/>
      <w:lvlText w:val=""/>
      <w:lvlJc w:val="left"/>
      <w:pPr>
        <w:ind w:left="4657" w:hanging="360"/>
      </w:pPr>
      <w:rPr>
        <w:rFonts w:ascii="Symbol" w:hAnsi="Symbol" w:hint="default"/>
      </w:rPr>
    </w:lvl>
    <w:lvl w:ilvl="7" w:tplc="040C0003" w:tentative="1">
      <w:start w:val="1"/>
      <w:numFmt w:val="bullet"/>
      <w:lvlText w:val="o"/>
      <w:lvlJc w:val="left"/>
      <w:pPr>
        <w:ind w:left="5377" w:hanging="360"/>
      </w:pPr>
      <w:rPr>
        <w:rFonts w:ascii="Courier New" w:hAnsi="Courier New" w:cs="Courier New" w:hint="default"/>
      </w:rPr>
    </w:lvl>
    <w:lvl w:ilvl="8" w:tplc="040C0005" w:tentative="1">
      <w:start w:val="1"/>
      <w:numFmt w:val="bullet"/>
      <w:lvlText w:val=""/>
      <w:lvlJc w:val="left"/>
      <w:pPr>
        <w:ind w:left="6097" w:hanging="360"/>
      </w:pPr>
      <w:rPr>
        <w:rFonts w:ascii="Wingdings" w:hAnsi="Wingdings" w:hint="default"/>
      </w:rPr>
    </w:lvl>
  </w:abstractNum>
  <w:abstractNum w:abstractNumId="26" w15:restartNumberingAfterBreak="0">
    <w:nsid w:val="7ED753E0"/>
    <w:multiLevelType w:val="multilevel"/>
    <w:tmpl w:val="E370C9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0212484">
    <w:abstractNumId w:val="24"/>
  </w:num>
  <w:num w:numId="2" w16cid:durableId="1322081015">
    <w:abstractNumId w:val="6"/>
  </w:num>
  <w:num w:numId="3" w16cid:durableId="569777032">
    <w:abstractNumId w:val="5"/>
  </w:num>
  <w:num w:numId="4" w16cid:durableId="75590967">
    <w:abstractNumId w:val="22"/>
  </w:num>
  <w:num w:numId="5" w16cid:durableId="578295791">
    <w:abstractNumId w:val="18"/>
  </w:num>
  <w:num w:numId="6" w16cid:durableId="169224023">
    <w:abstractNumId w:val="10"/>
  </w:num>
  <w:num w:numId="7" w16cid:durableId="1789927199">
    <w:abstractNumId w:val="4"/>
  </w:num>
  <w:num w:numId="8" w16cid:durableId="814033247">
    <w:abstractNumId w:val="17"/>
  </w:num>
  <w:num w:numId="9" w16cid:durableId="1954247019">
    <w:abstractNumId w:val="11"/>
  </w:num>
  <w:num w:numId="10" w16cid:durableId="690451270">
    <w:abstractNumId w:val="25"/>
  </w:num>
  <w:num w:numId="11" w16cid:durableId="1204708349">
    <w:abstractNumId w:val="24"/>
  </w:num>
  <w:num w:numId="12" w16cid:durableId="1251157308">
    <w:abstractNumId w:val="3"/>
  </w:num>
  <w:num w:numId="13" w16cid:durableId="930704664">
    <w:abstractNumId w:val="21"/>
  </w:num>
  <w:num w:numId="14" w16cid:durableId="1097826296">
    <w:abstractNumId w:val="0"/>
  </w:num>
  <w:num w:numId="15" w16cid:durableId="527762618">
    <w:abstractNumId w:val="8"/>
  </w:num>
  <w:num w:numId="16" w16cid:durableId="413162214">
    <w:abstractNumId w:val="24"/>
  </w:num>
  <w:num w:numId="17" w16cid:durableId="857694963">
    <w:abstractNumId w:val="24"/>
  </w:num>
  <w:num w:numId="18" w16cid:durableId="2065329435">
    <w:abstractNumId w:val="26"/>
  </w:num>
  <w:num w:numId="19" w16cid:durableId="1889876445">
    <w:abstractNumId w:val="16"/>
  </w:num>
  <w:num w:numId="20" w16cid:durableId="1959221309">
    <w:abstractNumId w:val="24"/>
  </w:num>
  <w:num w:numId="21" w16cid:durableId="87775701">
    <w:abstractNumId w:val="21"/>
  </w:num>
  <w:num w:numId="22" w16cid:durableId="1442605634">
    <w:abstractNumId w:val="9"/>
  </w:num>
  <w:num w:numId="23" w16cid:durableId="1632710742">
    <w:abstractNumId w:val="23"/>
  </w:num>
  <w:num w:numId="24" w16cid:durableId="1069765569">
    <w:abstractNumId w:val="2"/>
  </w:num>
  <w:num w:numId="25" w16cid:durableId="1901943881">
    <w:abstractNumId w:val="15"/>
  </w:num>
  <w:num w:numId="26" w16cid:durableId="289291306">
    <w:abstractNumId w:val="20"/>
  </w:num>
  <w:num w:numId="27" w16cid:durableId="413941803">
    <w:abstractNumId w:val="13"/>
  </w:num>
  <w:num w:numId="28" w16cid:durableId="696152455">
    <w:abstractNumId w:val="19"/>
  </w:num>
  <w:num w:numId="29" w16cid:durableId="1588271954">
    <w:abstractNumId w:val="12"/>
  </w:num>
  <w:num w:numId="30" w16cid:durableId="1187256171">
    <w:abstractNumId w:val="7"/>
  </w:num>
  <w:num w:numId="31" w16cid:durableId="1778136924">
    <w:abstractNumId w:val="1"/>
  </w:num>
  <w:num w:numId="32" w16cid:durableId="1466387359">
    <w:abstractNumId w:val="14"/>
  </w:num>
  <w:num w:numId="33" w16cid:durableId="144916380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55"/>
    <w:rsid w:val="00001A64"/>
    <w:rsid w:val="00003C01"/>
    <w:rsid w:val="00003E07"/>
    <w:rsid w:val="000046F2"/>
    <w:rsid w:val="00004C9D"/>
    <w:rsid w:val="00007D46"/>
    <w:rsid w:val="000114B2"/>
    <w:rsid w:val="0001411F"/>
    <w:rsid w:val="00022E00"/>
    <w:rsid w:val="000231BF"/>
    <w:rsid w:val="00030079"/>
    <w:rsid w:val="00030C10"/>
    <w:rsid w:val="00031D37"/>
    <w:rsid w:val="0004130E"/>
    <w:rsid w:val="00043AF1"/>
    <w:rsid w:val="00044357"/>
    <w:rsid w:val="00044FBE"/>
    <w:rsid w:val="000469DD"/>
    <w:rsid w:val="00053F69"/>
    <w:rsid w:val="0005782D"/>
    <w:rsid w:val="00062025"/>
    <w:rsid w:val="0006462E"/>
    <w:rsid w:val="00065E05"/>
    <w:rsid w:val="0006656E"/>
    <w:rsid w:val="0007057F"/>
    <w:rsid w:val="00070F82"/>
    <w:rsid w:val="000737F9"/>
    <w:rsid w:val="0007525F"/>
    <w:rsid w:val="00077316"/>
    <w:rsid w:val="00081C9E"/>
    <w:rsid w:val="00081D90"/>
    <w:rsid w:val="000840E4"/>
    <w:rsid w:val="000863C8"/>
    <w:rsid w:val="00087D94"/>
    <w:rsid w:val="000957F2"/>
    <w:rsid w:val="000959C3"/>
    <w:rsid w:val="00095E19"/>
    <w:rsid w:val="000A77C5"/>
    <w:rsid w:val="000B2C0F"/>
    <w:rsid w:val="000B3136"/>
    <w:rsid w:val="000B3FF5"/>
    <w:rsid w:val="000B6D9F"/>
    <w:rsid w:val="000C5942"/>
    <w:rsid w:val="000C5C74"/>
    <w:rsid w:val="000C6919"/>
    <w:rsid w:val="000D11B6"/>
    <w:rsid w:val="000D2482"/>
    <w:rsid w:val="000E3411"/>
    <w:rsid w:val="000E4487"/>
    <w:rsid w:val="000E554D"/>
    <w:rsid w:val="000F06D6"/>
    <w:rsid w:val="000F0E11"/>
    <w:rsid w:val="000F10A8"/>
    <w:rsid w:val="00101246"/>
    <w:rsid w:val="00104C2A"/>
    <w:rsid w:val="001052FD"/>
    <w:rsid w:val="00105E5B"/>
    <w:rsid w:val="001061C9"/>
    <w:rsid w:val="001066D6"/>
    <w:rsid w:val="00107A61"/>
    <w:rsid w:val="001107C1"/>
    <w:rsid w:val="001113F8"/>
    <w:rsid w:val="001133A1"/>
    <w:rsid w:val="001146BD"/>
    <w:rsid w:val="00122D8F"/>
    <w:rsid w:val="00125622"/>
    <w:rsid w:val="00125F7E"/>
    <w:rsid w:val="00127665"/>
    <w:rsid w:val="00131085"/>
    <w:rsid w:val="001315FA"/>
    <w:rsid w:val="001317ED"/>
    <w:rsid w:val="00133866"/>
    <w:rsid w:val="0013503D"/>
    <w:rsid w:val="00140792"/>
    <w:rsid w:val="00141B81"/>
    <w:rsid w:val="001422D4"/>
    <w:rsid w:val="00142459"/>
    <w:rsid w:val="00142D6E"/>
    <w:rsid w:val="00143C98"/>
    <w:rsid w:val="00144160"/>
    <w:rsid w:val="00145664"/>
    <w:rsid w:val="00147EA5"/>
    <w:rsid w:val="00153623"/>
    <w:rsid w:val="0015522B"/>
    <w:rsid w:val="00155AC6"/>
    <w:rsid w:val="00155C2F"/>
    <w:rsid w:val="001569BC"/>
    <w:rsid w:val="00157999"/>
    <w:rsid w:val="00157FF2"/>
    <w:rsid w:val="00162F72"/>
    <w:rsid w:val="001635FB"/>
    <w:rsid w:val="00163C5B"/>
    <w:rsid w:val="00164191"/>
    <w:rsid w:val="00166908"/>
    <w:rsid w:val="00170458"/>
    <w:rsid w:val="0017100D"/>
    <w:rsid w:val="0017192A"/>
    <w:rsid w:val="00171CB5"/>
    <w:rsid w:val="001727CF"/>
    <w:rsid w:val="0017397E"/>
    <w:rsid w:val="00175295"/>
    <w:rsid w:val="00175EE5"/>
    <w:rsid w:val="0018232F"/>
    <w:rsid w:val="001824AD"/>
    <w:rsid w:val="00182CD7"/>
    <w:rsid w:val="0018452A"/>
    <w:rsid w:val="001865F1"/>
    <w:rsid w:val="00193CF7"/>
    <w:rsid w:val="00195ED2"/>
    <w:rsid w:val="00195F4D"/>
    <w:rsid w:val="00196223"/>
    <w:rsid w:val="001962A3"/>
    <w:rsid w:val="00196AE1"/>
    <w:rsid w:val="001A3711"/>
    <w:rsid w:val="001A37A7"/>
    <w:rsid w:val="001A4256"/>
    <w:rsid w:val="001A6AFD"/>
    <w:rsid w:val="001B0950"/>
    <w:rsid w:val="001B098D"/>
    <w:rsid w:val="001B099A"/>
    <w:rsid w:val="001B1551"/>
    <w:rsid w:val="001B223A"/>
    <w:rsid w:val="001B2C3B"/>
    <w:rsid w:val="001B4E83"/>
    <w:rsid w:val="001B5187"/>
    <w:rsid w:val="001C06E8"/>
    <w:rsid w:val="001C0966"/>
    <w:rsid w:val="001D00AB"/>
    <w:rsid w:val="001D2372"/>
    <w:rsid w:val="001D2AEF"/>
    <w:rsid w:val="001D54F8"/>
    <w:rsid w:val="001E199B"/>
    <w:rsid w:val="001E1D12"/>
    <w:rsid w:val="001E5DC1"/>
    <w:rsid w:val="001E7A26"/>
    <w:rsid w:val="001F1C43"/>
    <w:rsid w:val="001F3C13"/>
    <w:rsid w:val="001F45AA"/>
    <w:rsid w:val="001F4CB0"/>
    <w:rsid w:val="001F56B0"/>
    <w:rsid w:val="001F6CAA"/>
    <w:rsid w:val="00200FE4"/>
    <w:rsid w:val="002027C7"/>
    <w:rsid w:val="00205FBE"/>
    <w:rsid w:val="00207A31"/>
    <w:rsid w:val="00207EBA"/>
    <w:rsid w:val="00212E6C"/>
    <w:rsid w:val="00213CD4"/>
    <w:rsid w:val="00214D6C"/>
    <w:rsid w:val="00215E4E"/>
    <w:rsid w:val="002165EB"/>
    <w:rsid w:val="00216C95"/>
    <w:rsid w:val="002205C9"/>
    <w:rsid w:val="00224FCF"/>
    <w:rsid w:val="00225D33"/>
    <w:rsid w:val="0022693B"/>
    <w:rsid w:val="0022717F"/>
    <w:rsid w:val="00227B8F"/>
    <w:rsid w:val="002326A2"/>
    <w:rsid w:val="002342B3"/>
    <w:rsid w:val="002343D2"/>
    <w:rsid w:val="002343F0"/>
    <w:rsid w:val="00234F9C"/>
    <w:rsid w:val="00235771"/>
    <w:rsid w:val="00235AE7"/>
    <w:rsid w:val="002423D3"/>
    <w:rsid w:val="00244BE0"/>
    <w:rsid w:val="0024765D"/>
    <w:rsid w:val="00247A87"/>
    <w:rsid w:val="00250E35"/>
    <w:rsid w:val="0025342B"/>
    <w:rsid w:val="002535B8"/>
    <w:rsid w:val="00254226"/>
    <w:rsid w:val="0025492F"/>
    <w:rsid w:val="00260917"/>
    <w:rsid w:val="002611C7"/>
    <w:rsid w:val="00261C34"/>
    <w:rsid w:val="00262F59"/>
    <w:rsid w:val="00265B83"/>
    <w:rsid w:val="0026684D"/>
    <w:rsid w:val="00267674"/>
    <w:rsid w:val="00270FBE"/>
    <w:rsid w:val="00271558"/>
    <w:rsid w:val="00273BEB"/>
    <w:rsid w:val="0027406C"/>
    <w:rsid w:val="0027482D"/>
    <w:rsid w:val="00276AA3"/>
    <w:rsid w:val="00276D02"/>
    <w:rsid w:val="00276D6D"/>
    <w:rsid w:val="00280CAD"/>
    <w:rsid w:val="002841F2"/>
    <w:rsid w:val="00284999"/>
    <w:rsid w:val="00284FE5"/>
    <w:rsid w:val="00285841"/>
    <w:rsid w:val="00285AC8"/>
    <w:rsid w:val="00285F13"/>
    <w:rsid w:val="00287445"/>
    <w:rsid w:val="00290570"/>
    <w:rsid w:val="00290E63"/>
    <w:rsid w:val="00291A62"/>
    <w:rsid w:val="00294034"/>
    <w:rsid w:val="00296080"/>
    <w:rsid w:val="0029623F"/>
    <w:rsid w:val="00297F50"/>
    <w:rsid w:val="002A25A8"/>
    <w:rsid w:val="002B0B16"/>
    <w:rsid w:val="002B0EAC"/>
    <w:rsid w:val="002B3EEF"/>
    <w:rsid w:val="002C1C43"/>
    <w:rsid w:val="002C1C9E"/>
    <w:rsid w:val="002C2F91"/>
    <w:rsid w:val="002C31E4"/>
    <w:rsid w:val="002C3338"/>
    <w:rsid w:val="002C39D3"/>
    <w:rsid w:val="002C4A6C"/>
    <w:rsid w:val="002D63AC"/>
    <w:rsid w:val="002D7338"/>
    <w:rsid w:val="002E0BCC"/>
    <w:rsid w:val="002E72D7"/>
    <w:rsid w:val="002F0B11"/>
    <w:rsid w:val="002F106A"/>
    <w:rsid w:val="002F19D6"/>
    <w:rsid w:val="002F237C"/>
    <w:rsid w:val="002F4176"/>
    <w:rsid w:val="002F5CA1"/>
    <w:rsid w:val="002F7AD9"/>
    <w:rsid w:val="00305038"/>
    <w:rsid w:val="00305525"/>
    <w:rsid w:val="00305C0B"/>
    <w:rsid w:val="00306B68"/>
    <w:rsid w:val="0031314C"/>
    <w:rsid w:val="00315A9D"/>
    <w:rsid w:val="00317460"/>
    <w:rsid w:val="00320AF6"/>
    <w:rsid w:val="00320B5C"/>
    <w:rsid w:val="00321046"/>
    <w:rsid w:val="003219F1"/>
    <w:rsid w:val="003232F7"/>
    <w:rsid w:val="0033010A"/>
    <w:rsid w:val="00330C59"/>
    <w:rsid w:val="00331230"/>
    <w:rsid w:val="003323B9"/>
    <w:rsid w:val="00340185"/>
    <w:rsid w:val="003441FB"/>
    <w:rsid w:val="00344478"/>
    <w:rsid w:val="0034485A"/>
    <w:rsid w:val="00345174"/>
    <w:rsid w:val="003459A5"/>
    <w:rsid w:val="00351469"/>
    <w:rsid w:val="003537A9"/>
    <w:rsid w:val="00353D14"/>
    <w:rsid w:val="00353DF8"/>
    <w:rsid w:val="00354097"/>
    <w:rsid w:val="00355E29"/>
    <w:rsid w:val="00364296"/>
    <w:rsid w:val="0036684F"/>
    <w:rsid w:val="00370DD0"/>
    <w:rsid w:val="00370E82"/>
    <w:rsid w:val="00371E5A"/>
    <w:rsid w:val="00372839"/>
    <w:rsid w:val="00372DDD"/>
    <w:rsid w:val="00372F94"/>
    <w:rsid w:val="00374DDE"/>
    <w:rsid w:val="003768FB"/>
    <w:rsid w:val="00376AF1"/>
    <w:rsid w:val="003777CA"/>
    <w:rsid w:val="00377C3B"/>
    <w:rsid w:val="0038464E"/>
    <w:rsid w:val="00384A65"/>
    <w:rsid w:val="00385009"/>
    <w:rsid w:val="003856C1"/>
    <w:rsid w:val="0038654D"/>
    <w:rsid w:val="00390749"/>
    <w:rsid w:val="00391EDE"/>
    <w:rsid w:val="00393164"/>
    <w:rsid w:val="003967F8"/>
    <w:rsid w:val="00396CB5"/>
    <w:rsid w:val="003A0145"/>
    <w:rsid w:val="003A0611"/>
    <w:rsid w:val="003A0698"/>
    <w:rsid w:val="003A16C3"/>
    <w:rsid w:val="003A4E74"/>
    <w:rsid w:val="003B017E"/>
    <w:rsid w:val="003B24AA"/>
    <w:rsid w:val="003B2561"/>
    <w:rsid w:val="003B2BB2"/>
    <w:rsid w:val="003B4596"/>
    <w:rsid w:val="003B4A29"/>
    <w:rsid w:val="003B54A6"/>
    <w:rsid w:val="003B68C5"/>
    <w:rsid w:val="003B6BE1"/>
    <w:rsid w:val="003C2B31"/>
    <w:rsid w:val="003C6AAC"/>
    <w:rsid w:val="003C7ED3"/>
    <w:rsid w:val="003D0313"/>
    <w:rsid w:val="003D096E"/>
    <w:rsid w:val="003D1719"/>
    <w:rsid w:val="003D46BC"/>
    <w:rsid w:val="003D52AE"/>
    <w:rsid w:val="003E0339"/>
    <w:rsid w:val="003E0639"/>
    <w:rsid w:val="003E20E7"/>
    <w:rsid w:val="003E2CD5"/>
    <w:rsid w:val="003E43EE"/>
    <w:rsid w:val="003E47D3"/>
    <w:rsid w:val="003E5B14"/>
    <w:rsid w:val="003E5DC2"/>
    <w:rsid w:val="003E65B8"/>
    <w:rsid w:val="003F2E83"/>
    <w:rsid w:val="003F5716"/>
    <w:rsid w:val="0040196C"/>
    <w:rsid w:val="00401B12"/>
    <w:rsid w:val="00403E3C"/>
    <w:rsid w:val="00403E53"/>
    <w:rsid w:val="004047FD"/>
    <w:rsid w:val="00405995"/>
    <w:rsid w:val="004068BF"/>
    <w:rsid w:val="00410F18"/>
    <w:rsid w:val="00411476"/>
    <w:rsid w:val="00412979"/>
    <w:rsid w:val="004160D0"/>
    <w:rsid w:val="0041691B"/>
    <w:rsid w:val="00416A16"/>
    <w:rsid w:val="004232C3"/>
    <w:rsid w:val="0042392D"/>
    <w:rsid w:val="00425CD1"/>
    <w:rsid w:val="004276BA"/>
    <w:rsid w:val="00427707"/>
    <w:rsid w:val="00431E3A"/>
    <w:rsid w:val="00432DBB"/>
    <w:rsid w:val="004442EC"/>
    <w:rsid w:val="00444AB4"/>
    <w:rsid w:val="00444E3E"/>
    <w:rsid w:val="004511CD"/>
    <w:rsid w:val="00452E4D"/>
    <w:rsid w:val="004562AB"/>
    <w:rsid w:val="00460D93"/>
    <w:rsid w:val="00463137"/>
    <w:rsid w:val="0046360D"/>
    <w:rsid w:val="0046383D"/>
    <w:rsid w:val="004641BC"/>
    <w:rsid w:val="00464606"/>
    <w:rsid w:val="00466325"/>
    <w:rsid w:val="00466E75"/>
    <w:rsid w:val="00466EF5"/>
    <w:rsid w:val="00467D65"/>
    <w:rsid w:val="00476524"/>
    <w:rsid w:val="00476797"/>
    <w:rsid w:val="00483228"/>
    <w:rsid w:val="00484CF2"/>
    <w:rsid w:val="00485A12"/>
    <w:rsid w:val="004864AE"/>
    <w:rsid w:val="004870A6"/>
    <w:rsid w:val="004877DE"/>
    <w:rsid w:val="004879AF"/>
    <w:rsid w:val="0049134C"/>
    <w:rsid w:val="004919B6"/>
    <w:rsid w:val="00491D6D"/>
    <w:rsid w:val="00491EDB"/>
    <w:rsid w:val="00492E56"/>
    <w:rsid w:val="004942C2"/>
    <w:rsid w:val="004952E6"/>
    <w:rsid w:val="00495F90"/>
    <w:rsid w:val="00496964"/>
    <w:rsid w:val="00496C17"/>
    <w:rsid w:val="00496DBA"/>
    <w:rsid w:val="004A0376"/>
    <w:rsid w:val="004A2AD3"/>
    <w:rsid w:val="004A3059"/>
    <w:rsid w:val="004A34FB"/>
    <w:rsid w:val="004A4A3E"/>
    <w:rsid w:val="004A757D"/>
    <w:rsid w:val="004B5EF2"/>
    <w:rsid w:val="004B732B"/>
    <w:rsid w:val="004C065C"/>
    <w:rsid w:val="004C07FA"/>
    <w:rsid w:val="004C18D9"/>
    <w:rsid w:val="004C5C8E"/>
    <w:rsid w:val="004D3974"/>
    <w:rsid w:val="004D5FA4"/>
    <w:rsid w:val="004D635E"/>
    <w:rsid w:val="004E0CAE"/>
    <w:rsid w:val="004E5FF2"/>
    <w:rsid w:val="004F12F3"/>
    <w:rsid w:val="004F230F"/>
    <w:rsid w:val="004F36D5"/>
    <w:rsid w:val="005010C5"/>
    <w:rsid w:val="00501437"/>
    <w:rsid w:val="00501FD5"/>
    <w:rsid w:val="00504494"/>
    <w:rsid w:val="00504F2C"/>
    <w:rsid w:val="00507017"/>
    <w:rsid w:val="00510253"/>
    <w:rsid w:val="00512D6D"/>
    <w:rsid w:val="005144A7"/>
    <w:rsid w:val="0051532A"/>
    <w:rsid w:val="0051730D"/>
    <w:rsid w:val="00524C58"/>
    <w:rsid w:val="0053107B"/>
    <w:rsid w:val="00533BFF"/>
    <w:rsid w:val="00534C91"/>
    <w:rsid w:val="005374EF"/>
    <w:rsid w:val="00540800"/>
    <w:rsid w:val="00542896"/>
    <w:rsid w:val="005437C3"/>
    <w:rsid w:val="005442E7"/>
    <w:rsid w:val="00547F39"/>
    <w:rsid w:val="00547F9D"/>
    <w:rsid w:val="00551D48"/>
    <w:rsid w:val="0055473F"/>
    <w:rsid w:val="00555294"/>
    <w:rsid w:val="00555DB9"/>
    <w:rsid w:val="005561B9"/>
    <w:rsid w:val="00564CDF"/>
    <w:rsid w:val="00565DB1"/>
    <w:rsid w:val="00567373"/>
    <w:rsid w:val="00567957"/>
    <w:rsid w:val="00572D7F"/>
    <w:rsid w:val="00574AC2"/>
    <w:rsid w:val="00580092"/>
    <w:rsid w:val="005815A0"/>
    <w:rsid w:val="0058161D"/>
    <w:rsid w:val="00582767"/>
    <w:rsid w:val="00585DA5"/>
    <w:rsid w:val="00586AB7"/>
    <w:rsid w:val="005878ED"/>
    <w:rsid w:val="0059029C"/>
    <w:rsid w:val="00591357"/>
    <w:rsid w:val="00594290"/>
    <w:rsid w:val="00594C38"/>
    <w:rsid w:val="00594C6E"/>
    <w:rsid w:val="005A5086"/>
    <w:rsid w:val="005B015B"/>
    <w:rsid w:val="005B079B"/>
    <w:rsid w:val="005B0840"/>
    <w:rsid w:val="005B115D"/>
    <w:rsid w:val="005B15FC"/>
    <w:rsid w:val="005B19EA"/>
    <w:rsid w:val="005B1C04"/>
    <w:rsid w:val="005B1F91"/>
    <w:rsid w:val="005B4415"/>
    <w:rsid w:val="005B574E"/>
    <w:rsid w:val="005C1B1B"/>
    <w:rsid w:val="005C349A"/>
    <w:rsid w:val="005C5542"/>
    <w:rsid w:val="005C61C5"/>
    <w:rsid w:val="005C71B3"/>
    <w:rsid w:val="005D0771"/>
    <w:rsid w:val="005D0AB2"/>
    <w:rsid w:val="005D4B2A"/>
    <w:rsid w:val="005D4E7B"/>
    <w:rsid w:val="005D7C4E"/>
    <w:rsid w:val="005D7CE8"/>
    <w:rsid w:val="005E0D90"/>
    <w:rsid w:val="005E1973"/>
    <w:rsid w:val="005E4018"/>
    <w:rsid w:val="005E4269"/>
    <w:rsid w:val="005E5D31"/>
    <w:rsid w:val="005E5F73"/>
    <w:rsid w:val="005E739A"/>
    <w:rsid w:val="005F19E9"/>
    <w:rsid w:val="005F60F7"/>
    <w:rsid w:val="006026E5"/>
    <w:rsid w:val="00602798"/>
    <w:rsid w:val="00604572"/>
    <w:rsid w:val="006058B3"/>
    <w:rsid w:val="006060E6"/>
    <w:rsid w:val="006072B0"/>
    <w:rsid w:val="006115E8"/>
    <w:rsid w:val="006133FD"/>
    <w:rsid w:val="00613962"/>
    <w:rsid w:val="00615368"/>
    <w:rsid w:val="00615DA8"/>
    <w:rsid w:val="00622DD8"/>
    <w:rsid w:val="006232F0"/>
    <w:rsid w:val="006237F4"/>
    <w:rsid w:val="006239D4"/>
    <w:rsid w:val="006241AE"/>
    <w:rsid w:val="006303F0"/>
    <w:rsid w:val="00632045"/>
    <w:rsid w:val="0063248A"/>
    <w:rsid w:val="00633739"/>
    <w:rsid w:val="00646269"/>
    <w:rsid w:val="00651403"/>
    <w:rsid w:val="006535BA"/>
    <w:rsid w:val="00653683"/>
    <w:rsid w:val="00653AB5"/>
    <w:rsid w:val="006547CA"/>
    <w:rsid w:val="0065646F"/>
    <w:rsid w:val="00660EBB"/>
    <w:rsid w:val="006621F0"/>
    <w:rsid w:val="00662D32"/>
    <w:rsid w:val="00663692"/>
    <w:rsid w:val="0066390D"/>
    <w:rsid w:val="00663FF6"/>
    <w:rsid w:val="006667C1"/>
    <w:rsid w:val="0067170D"/>
    <w:rsid w:val="00672B55"/>
    <w:rsid w:val="006764B1"/>
    <w:rsid w:val="00677359"/>
    <w:rsid w:val="00677F84"/>
    <w:rsid w:val="00684A4F"/>
    <w:rsid w:val="006851DA"/>
    <w:rsid w:val="00686686"/>
    <w:rsid w:val="00686FC9"/>
    <w:rsid w:val="00691BFE"/>
    <w:rsid w:val="0069382E"/>
    <w:rsid w:val="006949B2"/>
    <w:rsid w:val="00695DA1"/>
    <w:rsid w:val="006968F7"/>
    <w:rsid w:val="006B1A03"/>
    <w:rsid w:val="006B2600"/>
    <w:rsid w:val="006C13ED"/>
    <w:rsid w:val="006C2F98"/>
    <w:rsid w:val="006C4454"/>
    <w:rsid w:val="006C5EB1"/>
    <w:rsid w:val="006D123F"/>
    <w:rsid w:val="006D1536"/>
    <w:rsid w:val="006D18D5"/>
    <w:rsid w:val="006D22CF"/>
    <w:rsid w:val="006D3F7D"/>
    <w:rsid w:val="006D41E9"/>
    <w:rsid w:val="006D7D35"/>
    <w:rsid w:val="006E05C9"/>
    <w:rsid w:val="006E0C5E"/>
    <w:rsid w:val="006E1A88"/>
    <w:rsid w:val="006E21FE"/>
    <w:rsid w:val="006E3FCA"/>
    <w:rsid w:val="006E4166"/>
    <w:rsid w:val="006E479A"/>
    <w:rsid w:val="006E7176"/>
    <w:rsid w:val="006E7D45"/>
    <w:rsid w:val="006E7FF6"/>
    <w:rsid w:val="006F0A90"/>
    <w:rsid w:val="006F0B1B"/>
    <w:rsid w:val="006F0E45"/>
    <w:rsid w:val="006F195F"/>
    <w:rsid w:val="006F274C"/>
    <w:rsid w:val="006F3093"/>
    <w:rsid w:val="006F4788"/>
    <w:rsid w:val="00700720"/>
    <w:rsid w:val="00700810"/>
    <w:rsid w:val="00700C55"/>
    <w:rsid w:val="0070321A"/>
    <w:rsid w:val="0070498B"/>
    <w:rsid w:val="00705B39"/>
    <w:rsid w:val="00707120"/>
    <w:rsid w:val="00713DF6"/>
    <w:rsid w:val="00713ED0"/>
    <w:rsid w:val="0071623F"/>
    <w:rsid w:val="00716CC6"/>
    <w:rsid w:val="0072379B"/>
    <w:rsid w:val="00723853"/>
    <w:rsid w:val="007347D5"/>
    <w:rsid w:val="007369EF"/>
    <w:rsid w:val="00743DBF"/>
    <w:rsid w:val="00745800"/>
    <w:rsid w:val="00745980"/>
    <w:rsid w:val="00751E99"/>
    <w:rsid w:val="00753E48"/>
    <w:rsid w:val="00754DE3"/>
    <w:rsid w:val="00756BF2"/>
    <w:rsid w:val="007578AA"/>
    <w:rsid w:val="00761E40"/>
    <w:rsid w:val="007720A8"/>
    <w:rsid w:val="007754AB"/>
    <w:rsid w:val="0077788C"/>
    <w:rsid w:val="0078328C"/>
    <w:rsid w:val="00783B61"/>
    <w:rsid w:val="0078494C"/>
    <w:rsid w:val="00786380"/>
    <w:rsid w:val="007907D4"/>
    <w:rsid w:val="00791A03"/>
    <w:rsid w:val="00792D03"/>
    <w:rsid w:val="00793BF5"/>
    <w:rsid w:val="00794A25"/>
    <w:rsid w:val="00795692"/>
    <w:rsid w:val="00796043"/>
    <w:rsid w:val="007976F2"/>
    <w:rsid w:val="007A092E"/>
    <w:rsid w:val="007A0FB0"/>
    <w:rsid w:val="007A1442"/>
    <w:rsid w:val="007A1532"/>
    <w:rsid w:val="007A1E31"/>
    <w:rsid w:val="007A2608"/>
    <w:rsid w:val="007A42D0"/>
    <w:rsid w:val="007A5BEF"/>
    <w:rsid w:val="007A7D33"/>
    <w:rsid w:val="007B3897"/>
    <w:rsid w:val="007B51C9"/>
    <w:rsid w:val="007B7B6F"/>
    <w:rsid w:val="007C06DC"/>
    <w:rsid w:val="007C0AEC"/>
    <w:rsid w:val="007C11E7"/>
    <w:rsid w:val="007C1F9A"/>
    <w:rsid w:val="007C479C"/>
    <w:rsid w:val="007C493B"/>
    <w:rsid w:val="007C4F20"/>
    <w:rsid w:val="007D3288"/>
    <w:rsid w:val="007D4108"/>
    <w:rsid w:val="007D787A"/>
    <w:rsid w:val="007D7DAB"/>
    <w:rsid w:val="007E1507"/>
    <w:rsid w:val="007E1E50"/>
    <w:rsid w:val="007E2667"/>
    <w:rsid w:val="007E3547"/>
    <w:rsid w:val="007E356F"/>
    <w:rsid w:val="007E3776"/>
    <w:rsid w:val="007F0EDD"/>
    <w:rsid w:val="007F1673"/>
    <w:rsid w:val="007F1F6B"/>
    <w:rsid w:val="007F4C29"/>
    <w:rsid w:val="007F69D5"/>
    <w:rsid w:val="007F748E"/>
    <w:rsid w:val="007F7496"/>
    <w:rsid w:val="00803921"/>
    <w:rsid w:val="00805094"/>
    <w:rsid w:val="00805C24"/>
    <w:rsid w:val="00806B49"/>
    <w:rsid w:val="00814DEE"/>
    <w:rsid w:val="0082013B"/>
    <w:rsid w:val="00823172"/>
    <w:rsid w:val="00823298"/>
    <w:rsid w:val="0082699C"/>
    <w:rsid w:val="00831FD5"/>
    <w:rsid w:val="008320A5"/>
    <w:rsid w:val="00832865"/>
    <w:rsid w:val="00836EA1"/>
    <w:rsid w:val="00844DC6"/>
    <w:rsid w:val="0084551E"/>
    <w:rsid w:val="008538A1"/>
    <w:rsid w:val="00857E8C"/>
    <w:rsid w:val="00860980"/>
    <w:rsid w:val="00861D41"/>
    <w:rsid w:val="00861DAB"/>
    <w:rsid w:val="00863882"/>
    <w:rsid w:val="008644D5"/>
    <w:rsid w:val="00864BD3"/>
    <w:rsid w:val="00864FC1"/>
    <w:rsid w:val="008713B1"/>
    <w:rsid w:val="00873971"/>
    <w:rsid w:val="008739CB"/>
    <w:rsid w:val="00875766"/>
    <w:rsid w:val="00887270"/>
    <w:rsid w:val="00890B8B"/>
    <w:rsid w:val="0089418F"/>
    <w:rsid w:val="008957F5"/>
    <w:rsid w:val="008A10D0"/>
    <w:rsid w:val="008A12F6"/>
    <w:rsid w:val="008A3D3C"/>
    <w:rsid w:val="008A53D8"/>
    <w:rsid w:val="008B26D9"/>
    <w:rsid w:val="008B333E"/>
    <w:rsid w:val="008B5D5D"/>
    <w:rsid w:val="008B7D3E"/>
    <w:rsid w:val="008C3215"/>
    <w:rsid w:val="008C35BA"/>
    <w:rsid w:val="008C386A"/>
    <w:rsid w:val="008C7743"/>
    <w:rsid w:val="008D219B"/>
    <w:rsid w:val="008D4F7B"/>
    <w:rsid w:val="008D6881"/>
    <w:rsid w:val="008D749D"/>
    <w:rsid w:val="008D7F43"/>
    <w:rsid w:val="008E1CC0"/>
    <w:rsid w:val="008E2BE8"/>
    <w:rsid w:val="008E2CF2"/>
    <w:rsid w:val="008E3758"/>
    <w:rsid w:val="008E4A9C"/>
    <w:rsid w:val="008E69B6"/>
    <w:rsid w:val="008F3992"/>
    <w:rsid w:val="008F7294"/>
    <w:rsid w:val="009001DD"/>
    <w:rsid w:val="00904D2B"/>
    <w:rsid w:val="00906186"/>
    <w:rsid w:val="00910CE8"/>
    <w:rsid w:val="009117EE"/>
    <w:rsid w:val="00917E45"/>
    <w:rsid w:val="00926BED"/>
    <w:rsid w:val="00926EC4"/>
    <w:rsid w:val="00927690"/>
    <w:rsid w:val="00933BB3"/>
    <w:rsid w:val="00933F40"/>
    <w:rsid w:val="00934142"/>
    <w:rsid w:val="00934980"/>
    <w:rsid w:val="00934C45"/>
    <w:rsid w:val="00936AEB"/>
    <w:rsid w:val="00937320"/>
    <w:rsid w:val="009402F5"/>
    <w:rsid w:val="00940E7B"/>
    <w:rsid w:val="00941E46"/>
    <w:rsid w:val="00944154"/>
    <w:rsid w:val="00944AB8"/>
    <w:rsid w:val="00950180"/>
    <w:rsid w:val="00950BB6"/>
    <w:rsid w:val="00957EC7"/>
    <w:rsid w:val="00961663"/>
    <w:rsid w:val="00963205"/>
    <w:rsid w:val="00964A5C"/>
    <w:rsid w:val="009652DB"/>
    <w:rsid w:val="009674B4"/>
    <w:rsid w:val="00971791"/>
    <w:rsid w:val="0097221C"/>
    <w:rsid w:val="00976518"/>
    <w:rsid w:val="009776DE"/>
    <w:rsid w:val="00977898"/>
    <w:rsid w:val="0098535B"/>
    <w:rsid w:val="00985774"/>
    <w:rsid w:val="00986A80"/>
    <w:rsid w:val="00986BBA"/>
    <w:rsid w:val="00991529"/>
    <w:rsid w:val="009A081C"/>
    <w:rsid w:val="009A0E38"/>
    <w:rsid w:val="009A4234"/>
    <w:rsid w:val="009A5E64"/>
    <w:rsid w:val="009A7E5A"/>
    <w:rsid w:val="009B0463"/>
    <w:rsid w:val="009B146B"/>
    <w:rsid w:val="009B3484"/>
    <w:rsid w:val="009B435D"/>
    <w:rsid w:val="009B5B6B"/>
    <w:rsid w:val="009C55BE"/>
    <w:rsid w:val="009C7EC2"/>
    <w:rsid w:val="009D44FD"/>
    <w:rsid w:val="009D7DBF"/>
    <w:rsid w:val="009E268F"/>
    <w:rsid w:val="009E345C"/>
    <w:rsid w:val="009E392A"/>
    <w:rsid w:val="009E4FDF"/>
    <w:rsid w:val="009F1E28"/>
    <w:rsid w:val="009F5E02"/>
    <w:rsid w:val="009F70F1"/>
    <w:rsid w:val="009F7E9B"/>
    <w:rsid w:val="00A0004A"/>
    <w:rsid w:val="00A004A1"/>
    <w:rsid w:val="00A00A0A"/>
    <w:rsid w:val="00A02237"/>
    <w:rsid w:val="00A07CB6"/>
    <w:rsid w:val="00A10463"/>
    <w:rsid w:val="00A10933"/>
    <w:rsid w:val="00A134C1"/>
    <w:rsid w:val="00A137CC"/>
    <w:rsid w:val="00A158A3"/>
    <w:rsid w:val="00A23E6C"/>
    <w:rsid w:val="00A27BFC"/>
    <w:rsid w:val="00A3182C"/>
    <w:rsid w:val="00A32229"/>
    <w:rsid w:val="00A32C6A"/>
    <w:rsid w:val="00A339C6"/>
    <w:rsid w:val="00A34242"/>
    <w:rsid w:val="00A345BE"/>
    <w:rsid w:val="00A34F86"/>
    <w:rsid w:val="00A3562F"/>
    <w:rsid w:val="00A404BC"/>
    <w:rsid w:val="00A409FD"/>
    <w:rsid w:val="00A4215D"/>
    <w:rsid w:val="00A4445A"/>
    <w:rsid w:val="00A44548"/>
    <w:rsid w:val="00A472F3"/>
    <w:rsid w:val="00A515CB"/>
    <w:rsid w:val="00A52450"/>
    <w:rsid w:val="00A52A41"/>
    <w:rsid w:val="00A532DF"/>
    <w:rsid w:val="00A53AD0"/>
    <w:rsid w:val="00A556A4"/>
    <w:rsid w:val="00A56028"/>
    <w:rsid w:val="00A60B17"/>
    <w:rsid w:val="00A60D75"/>
    <w:rsid w:val="00A61511"/>
    <w:rsid w:val="00A616E4"/>
    <w:rsid w:val="00A61E30"/>
    <w:rsid w:val="00A61FDE"/>
    <w:rsid w:val="00A67644"/>
    <w:rsid w:val="00A67CEA"/>
    <w:rsid w:val="00A70191"/>
    <w:rsid w:val="00A73D6B"/>
    <w:rsid w:val="00A74445"/>
    <w:rsid w:val="00A74FF1"/>
    <w:rsid w:val="00A75025"/>
    <w:rsid w:val="00A7593B"/>
    <w:rsid w:val="00A7728A"/>
    <w:rsid w:val="00A77540"/>
    <w:rsid w:val="00A80BFD"/>
    <w:rsid w:val="00A81204"/>
    <w:rsid w:val="00A812C4"/>
    <w:rsid w:val="00A82047"/>
    <w:rsid w:val="00A826A8"/>
    <w:rsid w:val="00A82B37"/>
    <w:rsid w:val="00A83031"/>
    <w:rsid w:val="00A838E5"/>
    <w:rsid w:val="00A83E39"/>
    <w:rsid w:val="00A845CD"/>
    <w:rsid w:val="00AA00DE"/>
    <w:rsid w:val="00AA1F16"/>
    <w:rsid w:val="00AA38C4"/>
    <w:rsid w:val="00AA3A8F"/>
    <w:rsid w:val="00AA5855"/>
    <w:rsid w:val="00AA7020"/>
    <w:rsid w:val="00AB40AE"/>
    <w:rsid w:val="00AB4266"/>
    <w:rsid w:val="00AC7440"/>
    <w:rsid w:val="00AC779E"/>
    <w:rsid w:val="00AD10F9"/>
    <w:rsid w:val="00AD6414"/>
    <w:rsid w:val="00AE061E"/>
    <w:rsid w:val="00AE1F43"/>
    <w:rsid w:val="00AE2332"/>
    <w:rsid w:val="00AE2D29"/>
    <w:rsid w:val="00AE2D76"/>
    <w:rsid w:val="00AE479B"/>
    <w:rsid w:val="00AE5953"/>
    <w:rsid w:val="00AF35E1"/>
    <w:rsid w:val="00AF3790"/>
    <w:rsid w:val="00AF5AAB"/>
    <w:rsid w:val="00B01C5C"/>
    <w:rsid w:val="00B02AAB"/>
    <w:rsid w:val="00B047F8"/>
    <w:rsid w:val="00B076E6"/>
    <w:rsid w:val="00B132A0"/>
    <w:rsid w:val="00B1464B"/>
    <w:rsid w:val="00B14AA3"/>
    <w:rsid w:val="00B17888"/>
    <w:rsid w:val="00B217A4"/>
    <w:rsid w:val="00B22C79"/>
    <w:rsid w:val="00B232FC"/>
    <w:rsid w:val="00B25130"/>
    <w:rsid w:val="00B26375"/>
    <w:rsid w:val="00B314E7"/>
    <w:rsid w:val="00B335A4"/>
    <w:rsid w:val="00B368B3"/>
    <w:rsid w:val="00B37087"/>
    <w:rsid w:val="00B42688"/>
    <w:rsid w:val="00B438C5"/>
    <w:rsid w:val="00B4615C"/>
    <w:rsid w:val="00B47A07"/>
    <w:rsid w:val="00B47DDD"/>
    <w:rsid w:val="00B5025A"/>
    <w:rsid w:val="00B512B2"/>
    <w:rsid w:val="00B52AF7"/>
    <w:rsid w:val="00B55386"/>
    <w:rsid w:val="00B64550"/>
    <w:rsid w:val="00B64BF2"/>
    <w:rsid w:val="00B66D11"/>
    <w:rsid w:val="00B67D8F"/>
    <w:rsid w:val="00B705F6"/>
    <w:rsid w:val="00B70CF7"/>
    <w:rsid w:val="00B710B6"/>
    <w:rsid w:val="00B73289"/>
    <w:rsid w:val="00B76608"/>
    <w:rsid w:val="00B774D1"/>
    <w:rsid w:val="00B77871"/>
    <w:rsid w:val="00B81B8E"/>
    <w:rsid w:val="00B83525"/>
    <w:rsid w:val="00B90A9E"/>
    <w:rsid w:val="00B90D08"/>
    <w:rsid w:val="00B937FC"/>
    <w:rsid w:val="00B93BBB"/>
    <w:rsid w:val="00BA0B2D"/>
    <w:rsid w:val="00BA12C3"/>
    <w:rsid w:val="00BA2303"/>
    <w:rsid w:val="00BA24F5"/>
    <w:rsid w:val="00BA29F3"/>
    <w:rsid w:val="00BA342B"/>
    <w:rsid w:val="00BA4D43"/>
    <w:rsid w:val="00BA56E5"/>
    <w:rsid w:val="00BA6006"/>
    <w:rsid w:val="00BA76B5"/>
    <w:rsid w:val="00BB1CF0"/>
    <w:rsid w:val="00BB3D8E"/>
    <w:rsid w:val="00BC1190"/>
    <w:rsid w:val="00BC3D11"/>
    <w:rsid w:val="00BC6032"/>
    <w:rsid w:val="00BC72A9"/>
    <w:rsid w:val="00BC7AC3"/>
    <w:rsid w:val="00BD2E0D"/>
    <w:rsid w:val="00BD3E31"/>
    <w:rsid w:val="00BD66D1"/>
    <w:rsid w:val="00BE127E"/>
    <w:rsid w:val="00BE156E"/>
    <w:rsid w:val="00BE1B37"/>
    <w:rsid w:val="00BE2436"/>
    <w:rsid w:val="00BE34AF"/>
    <w:rsid w:val="00BE5FCA"/>
    <w:rsid w:val="00BE7F99"/>
    <w:rsid w:val="00BF3339"/>
    <w:rsid w:val="00BF3E46"/>
    <w:rsid w:val="00BF4C87"/>
    <w:rsid w:val="00BF6411"/>
    <w:rsid w:val="00BF72E8"/>
    <w:rsid w:val="00C00021"/>
    <w:rsid w:val="00C004AA"/>
    <w:rsid w:val="00C043BE"/>
    <w:rsid w:val="00C102D9"/>
    <w:rsid w:val="00C10E48"/>
    <w:rsid w:val="00C11037"/>
    <w:rsid w:val="00C11DED"/>
    <w:rsid w:val="00C12E2C"/>
    <w:rsid w:val="00C1603F"/>
    <w:rsid w:val="00C17AE9"/>
    <w:rsid w:val="00C2335C"/>
    <w:rsid w:val="00C249AF"/>
    <w:rsid w:val="00C249C9"/>
    <w:rsid w:val="00C25C72"/>
    <w:rsid w:val="00C267DB"/>
    <w:rsid w:val="00C40DB2"/>
    <w:rsid w:val="00C42470"/>
    <w:rsid w:val="00C4378D"/>
    <w:rsid w:val="00C4500B"/>
    <w:rsid w:val="00C47C61"/>
    <w:rsid w:val="00C52BF2"/>
    <w:rsid w:val="00C54F0B"/>
    <w:rsid w:val="00C55353"/>
    <w:rsid w:val="00C55F17"/>
    <w:rsid w:val="00C57802"/>
    <w:rsid w:val="00C610FF"/>
    <w:rsid w:val="00C630D1"/>
    <w:rsid w:val="00C634BA"/>
    <w:rsid w:val="00C64D63"/>
    <w:rsid w:val="00C6560D"/>
    <w:rsid w:val="00C6618C"/>
    <w:rsid w:val="00C661F1"/>
    <w:rsid w:val="00C66A73"/>
    <w:rsid w:val="00C732FF"/>
    <w:rsid w:val="00C74ECB"/>
    <w:rsid w:val="00C74F8B"/>
    <w:rsid w:val="00C7583F"/>
    <w:rsid w:val="00C75874"/>
    <w:rsid w:val="00C7714C"/>
    <w:rsid w:val="00C77A7D"/>
    <w:rsid w:val="00C80220"/>
    <w:rsid w:val="00C82C7D"/>
    <w:rsid w:val="00C834D8"/>
    <w:rsid w:val="00C86E87"/>
    <w:rsid w:val="00C927C4"/>
    <w:rsid w:val="00C939BD"/>
    <w:rsid w:val="00C9462C"/>
    <w:rsid w:val="00C95262"/>
    <w:rsid w:val="00C95882"/>
    <w:rsid w:val="00C95E25"/>
    <w:rsid w:val="00CA0AFB"/>
    <w:rsid w:val="00CA4050"/>
    <w:rsid w:val="00CA5E90"/>
    <w:rsid w:val="00CA6E63"/>
    <w:rsid w:val="00CB411E"/>
    <w:rsid w:val="00CB7101"/>
    <w:rsid w:val="00CC2E9F"/>
    <w:rsid w:val="00CC38E6"/>
    <w:rsid w:val="00CC3D2C"/>
    <w:rsid w:val="00CC747A"/>
    <w:rsid w:val="00CD052A"/>
    <w:rsid w:val="00CD14BA"/>
    <w:rsid w:val="00CD1F41"/>
    <w:rsid w:val="00CD44AC"/>
    <w:rsid w:val="00CD66B6"/>
    <w:rsid w:val="00CD6E81"/>
    <w:rsid w:val="00CD7581"/>
    <w:rsid w:val="00CE0C77"/>
    <w:rsid w:val="00CE3F6C"/>
    <w:rsid w:val="00CE5138"/>
    <w:rsid w:val="00CE57CE"/>
    <w:rsid w:val="00CE5F31"/>
    <w:rsid w:val="00CE718D"/>
    <w:rsid w:val="00CE76F8"/>
    <w:rsid w:val="00CF0C5F"/>
    <w:rsid w:val="00CF177A"/>
    <w:rsid w:val="00CF2B13"/>
    <w:rsid w:val="00CF5B1D"/>
    <w:rsid w:val="00D01418"/>
    <w:rsid w:val="00D06279"/>
    <w:rsid w:val="00D100E6"/>
    <w:rsid w:val="00D10848"/>
    <w:rsid w:val="00D14D5C"/>
    <w:rsid w:val="00D2063F"/>
    <w:rsid w:val="00D22913"/>
    <w:rsid w:val="00D2590F"/>
    <w:rsid w:val="00D33775"/>
    <w:rsid w:val="00D34BDE"/>
    <w:rsid w:val="00D36341"/>
    <w:rsid w:val="00D3675F"/>
    <w:rsid w:val="00D40074"/>
    <w:rsid w:val="00D437C8"/>
    <w:rsid w:val="00D45CEE"/>
    <w:rsid w:val="00D45D93"/>
    <w:rsid w:val="00D45F92"/>
    <w:rsid w:val="00D46105"/>
    <w:rsid w:val="00D47E6A"/>
    <w:rsid w:val="00D54CC3"/>
    <w:rsid w:val="00D57EE4"/>
    <w:rsid w:val="00D61447"/>
    <w:rsid w:val="00D6342F"/>
    <w:rsid w:val="00D67734"/>
    <w:rsid w:val="00D67F54"/>
    <w:rsid w:val="00D713C9"/>
    <w:rsid w:val="00D72BA6"/>
    <w:rsid w:val="00D81EE4"/>
    <w:rsid w:val="00D82873"/>
    <w:rsid w:val="00D82B1D"/>
    <w:rsid w:val="00D83AE9"/>
    <w:rsid w:val="00D8797E"/>
    <w:rsid w:val="00D87DCC"/>
    <w:rsid w:val="00D87E1D"/>
    <w:rsid w:val="00D907FD"/>
    <w:rsid w:val="00D939DA"/>
    <w:rsid w:val="00D93C92"/>
    <w:rsid w:val="00D94182"/>
    <w:rsid w:val="00DA1F81"/>
    <w:rsid w:val="00DA407C"/>
    <w:rsid w:val="00DA41B1"/>
    <w:rsid w:val="00DA433E"/>
    <w:rsid w:val="00DA4A28"/>
    <w:rsid w:val="00DA773D"/>
    <w:rsid w:val="00DA7938"/>
    <w:rsid w:val="00DC23FD"/>
    <w:rsid w:val="00DC3287"/>
    <w:rsid w:val="00DC41D4"/>
    <w:rsid w:val="00DC528B"/>
    <w:rsid w:val="00DC6838"/>
    <w:rsid w:val="00DC731E"/>
    <w:rsid w:val="00DC77E6"/>
    <w:rsid w:val="00DD0273"/>
    <w:rsid w:val="00DD0D5E"/>
    <w:rsid w:val="00DD14E9"/>
    <w:rsid w:val="00DD5258"/>
    <w:rsid w:val="00DD5769"/>
    <w:rsid w:val="00DE6820"/>
    <w:rsid w:val="00DE7205"/>
    <w:rsid w:val="00DE77AF"/>
    <w:rsid w:val="00DF13B0"/>
    <w:rsid w:val="00DF369F"/>
    <w:rsid w:val="00DF6BF1"/>
    <w:rsid w:val="00DF6CC9"/>
    <w:rsid w:val="00DF71CD"/>
    <w:rsid w:val="00E02EF6"/>
    <w:rsid w:val="00E04D44"/>
    <w:rsid w:val="00E06F52"/>
    <w:rsid w:val="00E0746E"/>
    <w:rsid w:val="00E11146"/>
    <w:rsid w:val="00E117A1"/>
    <w:rsid w:val="00E13A4B"/>
    <w:rsid w:val="00E160D5"/>
    <w:rsid w:val="00E1644F"/>
    <w:rsid w:val="00E215AF"/>
    <w:rsid w:val="00E22961"/>
    <w:rsid w:val="00E24323"/>
    <w:rsid w:val="00E258E6"/>
    <w:rsid w:val="00E266A1"/>
    <w:rsid w:val="00E311AF"/>
    <w:rsid w:val="00E32AE1"/>
    <w:rsid w:val="00E334E0"/>
    <w:rsid w:val="00E34939"/>
    <w:rsid w:val="00E36E43"/>
    <w:rsid w:val="00E41A14"/>
    <w:rsid w:val="00E41D1D"/>
    <w:rsid w:val="00E423B4"/>
    <w:rsid w:val="00E434BD"/>
    <w:rsid w:val="00E44334"/>
    <w:rsid w:val="00E52561"/>
    <w:rsid w:val="00E53006"/>
    <w:rsid w:val="00E53BDA"/>
    <w:rsid w:val="00E54C2B"/>
    <w:rsid w:val="00E555BC"/>
    <w:rsid w:val="00E62B3D"/>
    <w:rsid w:val="00E62DC4"/>
    <w:rsid w:val="00E656C6"/>
    <w:rsid w:val="00E70EC1"/>
    <w:rsid w:val="00E72886"/>
    <w:rsid w:val="00E72C56"/>
    <w:rsid w:val="00E745C4"/>
    <w:rsid w:val="00E75742"/>
    <w:rsid w:val="00E75E90"/>
    <w:rsid w:val="00E76203"/>
    <w:rsid w:val="00E77B64"/>
    <w:rsid w:val="00E83DF2"/>
    <w:rsid w:val="00E877E0"/>
    <w:rsid w:val="00E91F04"/>
    <w:rsid w:val="00E95A07"/>
    <w:rsid w:val="00EA01BF"/>
    <w:rsid w:val="00EA1FAE"/>
    <w:rsid w:val="00EB1FCF"/>
    <w:rsid w:val="00EB2B9B"/>
    <w:rsid w:val="00EB6F8B"/>
    <w:rsid w:val="00EC2680"/>
    <w:rsid w:val="00EC5172"/>
    <w:rsid w:val="00EC6CD7"/>
    <w:rsid w:val="00EC7340"/>
    <w:rsid w:val="00ED0BF2"/>
    <w:rsid w:val="00ED7F4F"/>
    <w:rsid w:val="00EE2104"/>
    <w:rsid w:val="00EE237D"/>
    <w:rsid w:val="00EE398E"/>
    <w:rsid w:val="00EE3C86"/>
    <w:rsid w:val="00EE43B8"/>
    <w:rsid w:val="00EF3590"/>
    <w:rsid w:val="00EF62D7"/>
    <w:rsid w:val="00EF7915"/>
    <w:rsid w:val="00F0140A"/>
    <w:rsid w:val="00F02984"/>
    <w:rsid w:val="00F02DCA"/>
    <w:rsid w:val="00F0571D"/>
    <w:rsid w:val="00F0657F"/>
    <w:rsid w:val="00F07158"/>
    <w:rsid w:val="00F12D0F"/>
    <w:rsid w:val="00F13897"/>
    <w:rsid w:val="00F13D41"/>
    <w:rsid w:val="00F15EDE"/>
    <w:rsid w:val="00F25F64"/>
    <w:rsid w:val="00F2640D"/>
    <w:rsid w:val="00F26826"/>
    <w:rsid w:val="00F27216"/>
    <w:rsid w:val="00F32423"/>
    <w:rsid w:val="00F335FA"/>
    <w:rsid w:val="00F33660"/>
    <w:rsid w:val="00F336FF"/>
    <w:rsid w:val="00F33C37"/>
    <w:rsid w:val="00F354E3"/>
    <w:rsid w:val="00F363F0"/>
    <w:rsid w:val="00F37902"/>
    <w:rsid w:val="00F430A4"/>
    <w:rsid w:val="00F45F5F"/>
    <w:rsid w:val="00F46D6F"/>
    <w:rsid w:val="00F563B7"/>
    <w:rsid w:val="00F60042"/>
    <w:rsid w:val="00F61EA7"/>
    <w:rsid w:val="00F67171"/>
    <w:rsid w:val="00F71714"/>
    <w:rsid w:val="00F72988"/>
    <w:rsid w:val="00F7312A"/>
    <w:rsid w:val="00F80390"/>
    <w:rsid w:val="00F80F16"/>
    <w:rsid w:val="00F81756"/>
    <w:rsid w:val="00F8178F"/>
    <w:rsid w:val="00F8513F"/>
    <w:rsid w:val="00F87563"/>
    <w:rsid w:val="00F878B3"/>
    <w:rsid w:val="00F94F34"/>
    <w:rsid w:val="00F9551E"/>
    <w:rsid w:val="00FA0437"/>
    <w:rsid w:val="00FA2304"/>
    <w:rsid w:val="00FA4C84"/>
    <w:rsid w:val="00FA6BC5"/>
    <w:rsid w:val="00FA7337"/>
    <w:rsid w:val="00FB0548"/>
    <w:rsid w:val="00FB09B6"/>
    <w:rsid w:val="00FB50F7"/>
    <w:rsid w:val="00FC05C7"/>
    <w:rsid w:val="00FC1CCA"/>
    <w:rsid w:val="00FC4E0C"/>
    <w:rsid w:val="00FC4F1D"/>
    <w:rsid w:val="00FC575B"/>
    <w:rsid w:val="00FD1620"/>
    <w:rsid w:val="00FD163D"/>
    <w:rsid w:val="00FD2349"/>
    <w:rsid w:val="00FD284D"/>
    <w:rsid w:val="00FD532E"/>
    <w:rsid w:val="00FE0416"/>
    <w:rsid w:val="00FE35D2"/>
    <w:rsid w:val="00FE3CD4"/>
    <w:rsid w:val="00FF5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C765"/>
  <w15:chartTrackingRefBased/>
  <w15:docId w15:val="{8D8473F7-877D-471E-AE58-55496B24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36"/>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9"/>
    <w:qFormat/>
    <w:rsid w:val="00AA5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5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58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8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8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85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85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85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85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A58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58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58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8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8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8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8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8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855"/>
    <w:rPr>
      <w:rFonts w:eastAsiaTheme="majorEastAsia" w:cstheme="majorBidi"/>
      <w:color w:val="272727" w:themeColor="text1" w:themeTint="D8"/>
    </w:rPr>
  </w:style>
  <w:style w:type="paragraph" w:styleId="Titre">
    <w:name w:val="Title"/>
    <w:basedOn w:val="Normal"/>
    <w:next w:val="Normal"/>
    <w:link w:val="TitreCar"/>
    <w:uiPriority w:val="10"/>
    <w:qFormat/>
    <w:rsid w:val="00AA585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8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8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8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855"/>
    <w:pPr>
      <w:spacing w:before="160"/>
      <w:jc w:val="center"/>
    </w:pPr>
    <w:rPr>
      <w:i/>
      <w:iCs/>
      <w:color w:val="404040" w:themeColor="text1" w:themeTint="BF"/>
    </w:rPr>
  </w:style>
  <w:style w:type="character" w:customStyle="1" w:styleId="CitationCar">
    <w:name w:val="Citation Car"/>
    <w:basedOn w:val="Policepardfaut"/>
    <w:link w:val="Citation"/>
    <w:uiPriority w:val="29"/>
    <w:rsid w:val="00AA5855"/>
    <w:rPr>
      <w:i/>
      <w:iCs/>
      <w:color w:val="404040" w:themeColor="text1" w:themeTint="BF"/>
    </w:rPr>
  </w:style>
  <w:style w:type="paragraph" w:styleId="Paragraphedeliste">
    <w:name w:val="List Paragraph"/>
    <w:aliases w:val="titre,P Liste CAPS,normal numéroté,tiret synthèse,Normal a.,PBM ART,List Paragraph_0,List Paragraph_0_0,Préambule liste (i),Sous catégorie,Conclusion de partie,Body Texte,Para. de Liste,Bullet List,FooterText,numbered,列出段落,列出段落1,Bull"/>
    <w:basedOn w:val="Normal"/>
    <w:link w:val="ParagraphedelisteCar"/>
    <w:uiPriority w:val="34"/>
    <w:qFormat/>
    <w:rsid w:val="00AA5855"/>
    <w:pPr>
      <w:ind w:left="720"/>
      <w:contextualSpacing/>
    </w:pPr>
  </w:style>
  <w:style w:type="character" w:styleId="Accentuationintense">
    <w:name w:val="Intense Emphasis"/>
    <w:basedOn w:val="Policepardfaut"/>
    <w:uiPriority w:val="21"/>
    <w:qFormat/>
    <w:rsid w:val="00AA5855"/>
    <w:rPr>
      <w:i/>
      <w:iCs/>
      <w:color w:val="0F4761" w:themeColor="accent1" w:themeShade="BF"/>
    </w:rPr>
  </w:style>
  <w:style w:type="paragraph" w:styleId="Citationintense">
    <w:name w:val="Intense Quote"/>
    <w:basedOn w:val="Normal"/>
    <w:next w:val="Normal"/>
    <w:link w:val="CitationintenseCar"/>
    <w:uiPriority w:val="30"/>
    <w:qFormat/>
    <w:rsid w:val="00AA5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855"/>
    <w:rPr>
      <w:i/>
      <w:iCs/>
      <w:color w:val="0F4761" w:themeColor="accent1" w:themeShade="BF"/>
    </w:rPr>
  </w:style>
  <w:style w:type="character" w:styleId="Rfrenceintense">
    <w:name w:val="Intense Reference"/>
    <w:basedOn w:val="Policepardfaut"/>
    <w:uiPriority w:val="32"/>
    <w:qFormat/>
    <w:rsid w:val="00AA5855"/>
    <w:rPr>
      <w:b/>
      <w:bCs/>
      <w:smallCaps/>
      <w:color w:val="0F4761" w:themeColor="accent1" w:themeShade="BF"/>
      <w:spacing w:val="5"/>
    </w:rPr>
  </w:style>
  <w:style w:type="paragraph" w:styleId="En-tte">
    <w:name w:val="header"/>
    <w:basedOn w:val="Normal"/>
    <w:link w:val="En-tteCar"/>
    <w:uiPriority w:val="99"/>
    <w:rsid w:val="00AA5855"/>
    <w:pPr>
      <w:tabs>
        <w:tab w:val="center" w:pos="4536"/>
        <w:tab w:val="right" w:pos="9072"/>
      </w:tabs>
      <w:overflowPunct w:val="0"/>
      <w:autoSpaceDE w:val="0"/>
      <w:autoSpaceDN w:val="0"/>
      <w:adjustRightInd w:val="0"/>
      <w:textAlignment w:val="baseline"/>
    </w:pPr>
    <w:rPr>
      <w:sz w:val="20"/>
      <w:szCs w:val="20"/>
    </w:rPr>
  </w:style>
  <w:style w:type="character" w:customStyle="1" w:styleId="En-tteCar">
    <w:name w:val="En-tête Car"/>
    <w:basedOn w:val="Policepardfaut"/>
    <w:link w:val="En-tte"/>
    <w:uiPriority w:val="99"/>
    <w:rsid w:val="00AA5855"/>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rsid w:val="00AA5855"/>
    <w:pPr>
      <w:tabs>
        <w:tab w:val="center" w:pos="4536"/>
        <w:tab w:val="right" w:pos="9072"/>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uiPriority w:val="99"/>
    <w:rsid w:val="00AA5855"/>
    <w:rPr>
      <w:rFonts w:ascii="Times New Roman" w:eastAsia="Times New Roman" w:hAnsi="Times New Roman" w:cs="Times New Roman"/>
      <w:kern w:val="0"/>
      <w:sz w:val="20"/>
      <w:szCs w:val="20"/>
      <w:lang w:eastAsia="fr-FR"/>
      <w14:ligatures w14:val="none"/>
    </w:rPr>
  </w:style>
  <w:style w:type="paragraph" w:styleId="Explorateurdedocuments">
    <w:name w:val="Document Map"/>
    <w:basedOn w:val="Normal"/>
    <w:link w:val="ExplorateurdedocumentsCar"/>
    <w:uiPriority w:val="99"/>
    <w:semiHidden/>
    <w:rsid w:val="00AA5855"/>
    <w:pPr>
      <w:shd w:val="clear" w:color="auto" w:fill="000080"/>
      <w:overflowPunct w:val="0"/>
      <w:autoSpaceDE w:val="0"/>
      <w:autoSpaceDN w:val="0"/>
      <w:adjustRightInd w:val="0"/>
      <w:textAlignment w:val="baseline"/>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rsid w:val="00AA5855"/>
    <w:rPr>
      <w:rFonts w:ascii="Tahoma" w:eastAsia="Times New Roman" w:hAnsi="Tahoma" w:cs="Tahoma"/>
      <w:kern w:val="0"/>
      <w:sz w:val="20"/>
      <w:szCs w:val="20"/>
      <w:shd w:val="clear" w:color="auto" w:fill="000080"/>
      <w:lang w:eastAsia="fr-FR"/>
      <w14:ligatures w14:val="none"/>
    </w:rPr>
  </w:style>
  <w:style w:type="paragraph" w:customStyle="1" w:styleId="2MAJ-paragraphe">
    <w:name w:val="2MAJ-paragraphe"/>
    <w:basedOn w:val="Normal"/>
    <w:autoRedefine/>
    <w:qFormat/>
    <w:rsid w:val="003459A5"/>
    <w:pPr>
      <w:jc w:val="both"/>
    </w:pPr>
    <w:rPr>
      <w:rFonts w:ascii="Calibri" w:hAnsi="Calibri" w:cs="Calibri"/>
      <w:sz w:val="22"/>
      <w:szCs w:val="22"/>
    </w:rPr>
  </w:style>
  <w:style w:type="paragraph" w:customStyle="1" w:styleId="2MAJ-references">
    <w:name w:val="2MAJ-references"/>
    <w:basedOn w:val="Normal"/>
    <w:autoRedefine/>
    <w:qFormat/>
    <w:rsid w:val="00AA5855"/>
    <w:rPr>
      <w:rFonts w:ascii="Calibri" w:hAnsi="Calibri" w:cs="Calibri"/>
      <w:sz w:val="22"/>
      <w:szCs w:val="22"/>
    </w:rPr>
  </w:style>
  <w:style w:type="paragraph" w:customStyle="1" w:styleId="2MAJ-adresse">
    <w:name w:val="2MAJ-adresse"/>
    <w:basedOn w:val="Normal"/>
    <w:autoRedefine/>
    <w:qFormat/>
    <w:rsid w:val="00C11DED"/>
    <w:pPr>
      <w:jc w:val="both"/>
    </w:pPr>
    <w:rPr>
      <w:rFonts w:ascii="Calibri" w:hAnsi="Calibri"/>
      <w:b/>
      <w:bCs/>
      <w:sz w:val="22"/>
      <w:szCs w:val="22"/>
      <w:lang w:bidi="fr-FR"/>
    </w:rPr>
  </w:style>
  <w:style w:type="paragraph" w:customStyle="1" w:styleId="2MAJ-signature">
    <w:name w:val="2MAJ-signature"/>
    <w:basedOn w:val="Normal"/>
    <w:autoRedefine/>
    <w:qFormat/>
    <w:rsid w:val="00AA5855"/>
    <w:pPr>
      <w:jc w:val="right"/>
    </w:pPr>
    <w:rPr>
      <w:rFonts w:ascii="Calibri" w:hAnsi="Calibri" w:cs="Calibri"/>
      <w:sz w:val="22"/>
      <w:szCs w:val="22"/>
    </w:rPr>
  </w:style>
  <w:style w:type="paragraph" w:customStyle="1" w:styleId="2MAJ-typeenvoi">
    <w:name w:val="2MAJ-typeenvoi"/>
    <w:basedOn w:val="Normal"/>
    <w:autoRedefine/>
    <w:qFormat/>
    <w:rsid w:val="00AA5855"/>
    <w:pPr>
      <w:jc w:val="both"/>
    </w:pPr>
    <w:rPr>
      <w:rFonts w:ascii="Calibri" w:hAnsi="Calibri" w:cs="Calibri"/>
      <w:b/>
      <w:sz w:val="22"/>
      <w:szCs w:val="22"/>
    </w:rPr>
  </w:style>
  <w:style w:type="character" w:styleId="Numrodepage">
    <w:name w:val="page number"/>
    <w:uiPriority w:val="99"/>
    <w:rsid w:val="00AA5855"/>
    <w:rPr>
      <w:rFonts w:cs="Times New Roman"/>
    </w:rPr>
  </w:style>
  <w:style w:type="paragraph" w:styleId="Corpsdetexte">
    <w:name w:val="Body Text"/>
    <w:basedOn w:val="Normal"/>
    <w:link w:val="CorpsdetexteCar"/>
    <w:uiPriority w:val="99"/>
    <w:rsid w:val="00AA5855"/>
    <w:pPr>
      <w:overflowPunct w:val="0"/>
      <w:autoSpaceDE w:val="0"/>
      <w:autoSpaceDN w:val="0"/>
      <w:adjustRightInd w:val="0"/>
      <w:jc w:val="both"/>
      <w:textAlignment w:val="baseline"/>
    </w:pPr>
    <w:rPr>
      <w:sz w:val="22"/>
      <w:szCs w:val="20"/>
      <w:lang w:val="fr-CA"/>
    </w:rPr>
  </w:style>
  <w:style w:type="character" w:customStyle="1" w:styleId="CorpsdetexteCar">
    <w:name w:val="Corps de texte Car"/>
    <w:basedOn w:val="Policepardfaut"/>
    <w:link w:val="Corpsdetexte"/>
    <w:uiPriority w:val="99"/>
    <w:rsid w:val="00AA5855"/>
    <w:rPr>
      <w:rFonts w:ascii="Times New Roman" w:eastAsia="Times New Roman" w:hAnsi="Times New Roman" w:cs="Times New Roman"/>
      <w:kern w:val="0"/>
      <w:szCs w:val="20"/>
      <w:lang w:val="fr-CA" w:eastAsia="fr-FR"/>
      <w14:ligatures w14:val="none"/>
    </w:rPr>
  </w:style>
  <w:style w:type="paragraph" w:styleId="Corpsdetexte2">
    <w:name w:val="Body Text 2"/>
    <w:basedOn w:val="Normal"/>
    <w:link w:val="Corpsdetexte2Car"/>
    <w:uiPriority w:val="99"/>
    <w:rsid w:val="00AA5855"/>
    <w:pPr>
      <w:overflowPunct w:val="0"/>
      <w:autoSpaceDE w:val="0"/>
      <w:autoSpaceDN w:val="0"/>
      <w:adjustRightInd w:val="0"/>
      <w:jc w:val="both"/>
      <w:textAlignment w:val="baseline"/>
    </w:pPr>
    <w:rPr>
      <w:b/>
      <w:sz w:val="22"/>
      <w:szCs w:val="20"/>
      <w:lang w:val="fr-CA"/>
    </w:rPr>
  </w:style>
  <w:style w:type="character" w:customStyle="1" w:styleId="Corpsdetexte2Car">
    <w:name w:val="Corps de texte 2 Car"/>
    <w:basedOn w:val="Policepardfaut"/>
    <w:link w:val="Corpsdetexte2"/>
    <w:uiPriority w:val="99"/>
    <w:rsid w:val="00AA5855"/>
    <w:rPr>
      <w:rFonts w:ascii="Times New Roman" w:eastAsia="Times New Roman" w:hAnsi="Times New Roman" w:cs="Times New Roman"/>
      <w:b/>
      <w:kern w:val="0"/>
      <w:szCs w:val="20"/>
      <w:lang w:val="fr-CA" w:eastAsia="fr-FR"/>
      <w14:ligatures w14:val="none"/>
    </w:rPr>
  </w:style>
  <w:style w:type="character" w:customStyle="1" w:styleId="ParagraphedelisteCar">
    <w:name w:val="Paragraphe de liste Car"/>
    <w:aliases w:val="titre Car,P Liste CAPS Car,normal numéroté Car,tiret synthèse Car,Normal a. Car,PBM ART Car,List Paragraph_0 Car,List Paragraph_0_0 Car,Préambule liste (i) Car,Sous catégorie Car,Conclusion de partie Car,Body Texte Car,列出段落 Car"/>
    <w:link w:val="Paragraphedeliste"/>
    <w:uiPriority w:val="34"/>
    <w:qFormat/>
    <w:rsid w:val="00AA5855"/>
  </w:style>
  <w:style w:type="character" w:styleId="Marquedecommentaire">
    <w:name w:val="annotation reference"/>
    <w:basedOn w:val="Policepardfaut"/>
    <w:uiPriority w:val="99"/>
    <w:semiHidden/>
    <w:unhideWhenUsed/>
    <w:rsid w:val="00AA5855"/>
    <w:rPr>
      <w:sz w:val="16"/>
      <w:szCs w:val="16"/>
    </w:rPr>
  </w:style>
  <w:style w:type="paragraph" w:styleId="Commentaire">
    <w:name w:val="annotation text"/>
    <w:basedOn w:val="Normal"/>
    <w:link w:val="CommentaireCar"/>
    <w:uiPriority w:val="99"/>
    <w:unhideWhenUsed/>
    <w:rsid w:val="00AA5855"/>
    <w:pPr>
      <w:overflowPunct w:val="0"/>
      <w:autoSpaceDE w:val="0"/>
      <w:autoSpaceDN w:val="0"/>
      <w:adjustRightInd w:val="0"/>
      <w:textAlignment w:val="baseline"/>
    </w:pPr>
    <w:rPr>
      <w:sz w:val="20"/>
      <w:szCs w:val="20"/>
    </w:rPr>
  </w:style>
  <w:style w:type="character" w:customStyle="1" w:styleId="CommentaireCar">
    <w:name w:val="Commentaire Car"/>
    <w:basedOn w:val="Policepardfaut"/>
    <w:link w:val="Commentaire"/>
    <w:uiPriority w:val="99"/>
    <w:rsid w:val="00AA585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AA5855"/>
    <w:rPr>
      <w:b/>
      <w:bCs/>
    </w:rPr>
  </w:style>
  <w:style w:type="character" w:customStyle="1" w:styleId="ObjetducommentaireCar">
    <w:name w:val="Objet du commentaire Car"/>
    <w:basedOn w:val="CommentaireCar"/>
    <w:link w:val="Objetducommentaire"/>
    <w:uiPriority w:val="99"/>
    <w:semiHidden/>
    <w:rsid w:val="00AA5855"/>
    <w:rPr>
      <w:rFonts w:ascii="Times New Roman" w:eastAsia="Times New Roman" w:hAnsi="Times New Roman" w:cs="Times New Roman"/>
      <w:b/>
      <w:bCs/>
      <w:kern w:val="0"/>
      <w:sz w:val="20"/>
      <w:szCs w:val="20"/>
      <w:lang w:eastAsia="fr-FR"/>
      <w14:ligatures w14:val="none"/>
    </w:rPr>
  </w:style>
  <w:style w:type="paragraph" w:styleId="Textedebulles">
    <w:name w:val="Balloon Text"/>
    <w:basedOn w:val="Normal"/>
    <w:link w:val="TextedebullesCar"/>
    <w:uiPriority w:val="99"/>
    <w:semiHidden/>
    <w:unhideWhenUsed/>
    <w:rsid w:val="00AA5855"/>
    <w:pPr>
      <w:overflowPunct w:val="0"/>
      <w:autoSpaceDE w:val="0"/>
      <w:autoSpaceDN w:val="0"/>
      <w:adjustRightInd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5855"/>
    <w:rPr>
      <w:rFonts w:ascii="Segoe UI" w:eastAsia="Times New Roman" w:hAnsi="Segoe UI" w:cs="Segoe UI"/>
      <w:kern w:val="0"/>
      <w:sz w:val="18"/>
      <w:szCs w:val="18"/>
      <w:lang w:eastAsia="fr-FR"/>
      <w14:ligatures w14:val="none"/>
    </w:rPr>
  </w:style>
  <w:style w:type="paragraph" w:styleId="En-ttedetabledesmatires">
    <w:name w:val="TOC Heading"/>
    <w:basedOn w:val="Titre1"/>
    <w:next w:val="Normal"/>
    <w:uiPriority w:val="39"/>
    <w:unhideWhenUsed/>
    <w:qFormat/>
    <w:rsid w:val="00AA5855"/>
    <w:pPr>
      <w:spacing w:before="240" w:after="0"/>
      <w:outlineLvl w:val="9"/>
    </w:pPr>
    <w:rPr>
      <w:sz w:val="32"/>
      <w:szCs w:val="32"/>
    </w:rPr>
  </w:style>
  <w:style w:type="paragraph" w:styleId="TM1">
    <w:name w:val="toc 1"/>
    <w:basedOn w:val="Normal"/>
    <w:next w:val="Normal"/>
    <w:autoRedefine/>
    <w:uiPriority w:val="39"/>
    <w:unhideWhenUsed/>
    <w:rsid w:val="00BA12C3"/>
    <w:pPr>
      <w:tabs>
        <w:tab w:val="left" w:pos="0"/>
        <w:tab w:val="right" w:leader="dot" w:pos="9498"/>
      </w:tabs>
      <w:overflowPunct w:val="0"/>
      <w:autoSpaceDE w:val="0"/>
      <w:autoSpaceDN w:val="0"/>
      <w:adjustRightInd w:val="0"/>
      <w:ind w:left="567" w:hanging="567"/>
      <w:textAlignment w:val="baseline"/>
    </w:pPr>
    <w:rPr>
      <w:sz w:val="20"/>
      <w:szCs w:val="20"/>
    </w:rPr>
  </w:style>
  <w:style w:type="character" w:styleId="Lienhypertexte">
    <w:name w:val="Hyperlink"/>
    <w:basedOn w:val="Policepardfaut"/>
    <w:uiPriority w:val="99"/>
    <w:unhideWhenUsed/>
    <w:rsid w:val="00AA5855"/>
    <w:rPr>
      <w:color w:val="467886" w:themeColor="hyperlink"/>
      <w:u w:val="single"/>
    </w:rPr>
  </w:style>
  <w:style w:type="paragraph" w:styleId="TM2">
    <w:name w:val="toc 2"/>
    <w:basedOn w:val="Normal"/>
    <w:next w:val="Normal"/>
    <w:autoRedefine/>
    <w:uiPriority w:val="39"/>
    <w:unhideWhenUsed/>
    <w:rsid w:val="00AA5855"/>
    <w:pPr>
      <w:overflowPunct w:val="0"/>
      <w:autoSpaceDE w:val="0"/>
      <w:autoSpaceDN w:val="0"/>
      <w:adjustRightInd w:val="0"/>
      <w:spacing w:after="100"/>
      <w:ind w:left="200"/>
      <w:textAlignment w:val="baseline"/>
    </w:pPr>
    <w:rPr>
      <w:sz w:val="20"/>
      <w:szCs w:val="20"/>
    </w:rPr>
  </w:style>
  <w:style w:type="paragraph" w:customStyle="1" w:styleId="Default">
    <w:name w:val="Default"/>
    <w:rsid w:val="00AA5855"/>
    <w:pPr>
      <w:autoSpaceDE w:val="0"/>
      <w:autoSpaceDN w:val="0"/>
      <w:adjustRightInd w:val="0"/>
      <w:spacing w:after="0" w:line="240" w:lineRule="auto"/>
    </w:pPr>
    <w:rPr>
      <w:rFonts w:ascii="Calibri" w:eastAsia="Times New Roman" w:hAnsi="Calibri" w:cs="Calibri"/>
      <w:color w:val="000000"/>
      <w:kern w:val="0"/>
      <w:sz w:val="24"/>
      <w:szCs w:val="24"/>
      <w:lang w:eastAsia="fr-FR"/>
      <w14:ligatures w14:val="none"/>
    </w:rPr>
  </w:style>
  <w:style w:type="character" w:customStyle="1" w:styleId="Aucun">
    <w:name w:val="Aucun"/>
    <w:rsid w:val="00AA5855"/>
  </w:style>
  <w:style w:type="character" w:styleId="Mentionnonrsolue">
    <w:name w:val="Unresolved Mention"/>
    <w:basedOn w:val="Policepardfaut"/>
    <w:uiPriority w:val="99"/>
    <w:semiHidden/>
    <w:unhideWhenUsed/>
    <w:rsid w:val="00AA5855"/>
    <w:rPr>
      <w:color w:val="605E5C"/>
      <w:shd w:val="clear" w:color="auto" w:fill="E1DFDD"/>
    </w:rPr>
  </w:style>
  <w:style w:type="paragraph" w:styleId="Rvision">
    <w:name w:val="Revision"/>
    <w:hidden/>
    <w:uiPriority w:val="99"/>
    <w:semiHidden/>
    <w:rsid w:val="00AA5855"/>
    <w:pPr>
      <w:spacing w:after="0" w:line="240" w:lineRule="auto"/>
    </w:pPr>
    <w:rPr>
      <w:rFonts w:ascii="Times New Roman" w:eastAsia="Times New Roman" w:hAnsi="Times New Roman" w:cs="Times New Roman"/>
      <w:kern w:val="0"/>
      <w:sz w:val="20"/>
      <w:szCs w:val="20"/>
      <w:lang w:eastAsia="fr-FR"/>
      <w14:ligatures w14:val="none"/>
    </w:rPr>
  </w:style>
  <w:style w:type="paragraph" w:customStyle="1" w:styleId="Style4">
    <w:name w:val="Style4"/>
    <w:basedOn w:val="Normal"/>
    <w:uiPriority w:val="99"/>
    <w:rsid w:val="00AA5855"/>
    <w:pPr>
      <w:overflowPunct w:val="0"/>
      <w:autoSpaceDE w:val="0"/>
      <w:autoSpaceDN w:val="0"/>
      <w:adjustRightInd w:val="0"/>
      <w:ind w:left="567"/>
      <w:jc w:val="both"/>
      <w:textAlignment w:val="baseline"/>
    </w:pPr>
    <w:rPr>
      <w:b/>
      <w:sz w:val="22"/>
      <w:szCs w:val="20"/>
    </w:rPr>
  </w:style>
  <w:style w:type="table" w:styleId="Grilledutableau">
    <w:name w:val="Table Grid"/>
    <w:basedOn w:val="TableauNormal"/>
    <w:uiPriority w:val="39"/>
    <w:rsid w:val="00AA5855"/>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AA585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fr-FR"/>
      <w14:ligatures w14:val="none"/>
    </w:rPr>
  </w:style>
  <w:style w:type="paragraph" w:styleId="NormalWeb">
    <w:name w:val="Normal (Web)"/>
    <w:basedOn w:val="Normal"/>
    <w:uiPriority w:val="99"/>
    <w:semiHidden/>
    <w:unhideWhenUsed/>
    <w:rsid w:val="00492E56"/>
    <w:pPr>
      <w:spacing w:before="100" w:beforeAutospacing="1" w:after="100" w:afterAutospacing="1"/>
    </w:pPr>
  </w:style>
  <w:style w:type="paragraph" w:styleId="Notedebasdepage">
    <w:name w:val="footnote text"/>
    <w:basedOn w:val="Normal"/>
    <w:link w:val="NotedebasdepageCar"/>
    <w:uiPriority w:val="99"/>
    <w:semiHidden/>
    <w:unhideWhenUsed/>
    <w:rsid w:val="004A2AD3"/>
    <w:pPr>
      <w:overflowPunct w:val="0"/>
      <w:autoSpaceDE w:val="0"/>
      <w:autoSpaceDN w:val="0"/>
      <w:adjustRightInd w:val="0"/>
      <w:jc w:val="both"/>
      <w:textAlignment w:val="baseline"/>
    </w:pPr>
    <w:rPr>
      <w:rFonts w:ascii="Calibri" w:hAnsi="Calibri"/>
      <w:sz w:val="20"/>
      <w:szCs w:val="20"/>
    </w:rPr>
  </w:style>
  <w:style w:type="character" w:customStyle="1" w:styleId="NotedebasdepageCar">
    <w:name w:val="Note de bas de page Car"/>
    <w:basedOn w:val="Policepardfaut"/>
    <w:link w:val="Notedebasdepage"/>
    <w:uiPriority w:val="99"/>
    <w:semiHidden/>
    <w:rsid w:val="004A2AD3"/>
    <w:rPr>
      <w:rFonts w:ascii="Calibri" w:eastAsia="Times New Roman" w:hAnsi="Calibri" w:cs="Times New Roman"/>
      <w:kern w:val="0"/>
      <w:sz w:val="20"/>
      <w:szCs w:val="20"/>
      <w:lang w:eastAsia="fr-FR"/>
      <w14:ligatures w14:val="none"/>
    </w:rPr>
  </w:style>
  <w:style w:type="character" w:styleId="Appelnotedebasdep">
    <w:name w:val="footnote reference"/>
    <w:uiPriority w:val="99"/>
    <w:semiHidden/>
    <w:unhideWhenUsed/>
    <w:rsid w:val="004A2AD3"/>
    <w:rPr>
      <w:vertAlign w:val="superscript"/>
    </w:rPr>
  </w:style>
  <w:style w:type="paragraph" w:styleId="TM3">
    <w:name w:val="toc 3"/>
    <w:basedOn w:val="Normal"/>
    <w:next w:val="Normal"/>
    <w:autoRedefine/>
    <w:uiPriority w:val="39"/>
    <w:unhideWhenUsed/>
    <w:rsid w:val="0084551E"/>
    <w:pPr>
      <w:spacing w:after="100"/>
      <w:ind w:left="480"/>
    </w:pPr>
  </w:style>
  <w:style w:type="paragraph" w:styleId="TM4">
    <w:name w:val="toc 4"/>
    <w:basedOn w:val="Normal"/>
    <w:next w:val="Normal"/>
    <w:autoRedefine/>
    <w:uiPriority w:val="39"/>
    <w:unhideWhenUsed/>
    <w:rsid w:val="0084551E"/>
    <w:pPr>
      <w:spacing w:after="100" w:line="278" w:lineRule="auto"/>
      <w:ind w:left="720"/>
    </w:pPr>
    <w:rPr>
      <w:rFonts w:asciiTheme="minorHAnsi" w:eastAsiaTheme="minorEastAsia" w:hAnsiTheme="minorHAnsi" w:cstheme="minorBidi"/>
      <w:kern w:val="2"/>
      <w14:ligatures w14:val="standardContextual"/>
    </w:rPr>
  </w:style>
  <w:style w:type="paragraph" w:styleId="TM5">
    <w:name w:val="toc 5"/>
    <w:basedOn w:val="Normal"/>
    <w:next w:val="Normal"/>
    <w:autoRedefine/>
    <w:uiPriority w:val="39"/>
    <w:unhideWhenUsed/>
    <w:rsid w:val="0084551E"/>
    <w:pPr>
      <w:spacing w:after="100" w:line="278" w:lineRule="auto"/>
      <w:ind w:left="960"/>
    </w:pPr>
    <w:rPr>
      <w:rFonts w:asciiTheme="minorHAnsi" w:eastAsiaTheme="minorEastAsia" w:hAnsiTheme="minorHAnsi" w:cstheme="minorBidi"/>
      <w:kern w:val="2"/>
      <w14:ligatures w14:val="standardContextual"/>
    </w:rPr>
  </w:style>
  <w:style w:type="paragraph" w:styleId="TM6">
    <w:name w:val="toc 6"/>
    <w:basedOn w:val="Normal"/>
    <w:next w:val="Normal"/>
    <w:autoRedefine/>
    <w:uiPriority w:val="39"/>
    <w:unhideWhenUsed/>
    <w:rsid w:val="0084551E"/>
    <w:pPr>
      <w:spacing w:after="100" w:line="278" w:lineRule="auto"/>
      <w:ind w:left="1200"/>
    </w:pPr>
    <w:rPr>
      <w:rFonts w:asciiTheme="minorHAnsi" w:eastAsiaTheme="minorEastAsia" w:hAnsiTheme="minorHAnsi" w:cstheme="minorBidi"/>
      <w:kern w:val="2"/>
      <w14:ligatures w14:val="standardContextual"/>
    </w:rPr>
  </w:style>
  <w:style w:type="paragraph" w:styleId="TM7">
    <w:name w:val="toc 7"/>
    <w:basedOn w:val="Normal"/>
    <w:next w:val="Normal"/>
    <w:autoRedefine/>
    <w:uiPriority w:val="39"/>
    <w:unhideWhenUsed/>
    <w:rsid w:val="0084551E"/>
    <w:pPr>
      <w:spacing w:after="100" w:line="278" w:lineRule="auto"/>
      <w:ind w:left="1440"/>
    </w:pPr>
    <w:rPr>
      <w:rFonts w:asciiTheme="minorHAnsi" w:eastAsiaTheme="minorEastAsia" w:hAnsiTheme="minorHAnsi" w:cstheme="minorBidi"/>
      <w:kern w:val="2"/>
      <w14:ligatures w14:val="standardContextual"/>
    </w:rPr>
  </w:style>
  <w:style w:type="paragraph" w:styleId="TM8">
    <w:name w:val="toc 8"/>
    <w:basedOn w:val="Normal"/>
    <w:next w:val="Normal"/>
    <w:autoRedefine/>
    <w:uiPriority w:val="39"/>
    <w:unhideWhenUsed/>
    <w:rsid w:val="0084551E"/>
    <w:pPr>
      <w:spacing w:after="100" w:line="278" w:lineRule="auto"/>
      <w:ind w:left="1680"/>
    </w:pPr>
    <w:rPr>
      <w:rFonts w:asciiTheme="minorHAnsi" w:eastAsiaTheme="minorEastAsia" w:hAnsiTheme="minorHAnsi" w:cstheme="minorBidi"/>
      <w:kern w:val="2"/>
      <w14:ligatures w14:val="standardContextual"/>
    </w:rPr>
  </w:style>
  <w:style w:type="paragraph" w:styleId="TM9">
    <w:name w:val="toc 9"/>
    <w:basedOn w:val="Normal"/>
    <w:next w:val="Normal"/>
    <w:autoRedefine/>
    <w:uiPriority w:val="39"/>
    <w:unhideWhenUsed/>
    <w:rsid w:val="0084551E"/>
    <w:pPr>
      <w:spacing w:after="100" w:line="278" w:lineRule="auto"/>
      <w:ind w:left="1920"/>
    </w:pPr>
    <w:rPr>
      <w:rFonts w:asciiTheme="minorHAnsi" w:eastAsiaTheme="minorEastAsia" w:hAnsiTheme="minorHAnsi" w:cstheme="minorBidi"/>
      <w:kern w:val="2"/>
      <w14:ligatures w14:val="standardContextual"/>
    </w:rPr>
  </w:style>
  <w:style w:type="character" w:styleId="Lienhypertextesuivivisit">
    <w:name w:val="FollowedHyperlink"/>
    <w:basedOn w:val="Policepardfaut"/>
    <w:uiPriority w:val="99"/>
    <w:semiHidden/>
    <w:unhideWhenUsed/>
    <w:rsid w:val="000E3411"/>
    <w:rPr>
      <w:color w:val="7AA7D8"/>
      <w:u w:val="single"/>
    </w:rPr>
  </w:style>
  <w:style w:type="paragraph" w:customStyle="1" w:styleId="msonormal0">
    <w:name w:val="msonormal"/>
    <w:basedOn w:val="Normal"/>
    <w:rsid w:val="000E3411"/>
    <w:pPr>
      <w:spacing w:before="100" w:beforeAutospacing="1" w:after="100" w:afterAutospacing="1"/>
    </w:pPr>
  </w:style>
  <w:style w:type="paragraph" w:customStyle="1" w:styleId="xl73">
    <w:name w:val="xl73"/>
    <w:basedOn w:val="Normal"/>
    <w:rsid w:val="000E3411"/>
    <w:pPr>
      <w:spacing w:before="100" w:beforeAutospacing="1" w:after="100" w:afterAutospacing="1"/>
      <w:jc w:val="right"/>
    </w:pPr>
  </w:style>
  <w:style w:type="paragraph" w:customStyle="1" w:styleId="xl74">
    <w:name w:val="xl74"/>
    <w:basedOn w:val="Normal"/>
    <w:rsid w:val="000E3411"/>
    <w:pPr>
      <w:pBdr>
        <w:bottom w:val="single" w:sz="4" w:space="0" w:color="000000"/>
      </w:pBdr>
      <w:spacing w:before="100" w:beforeAutospacing="1" w:after="100" w:afterAutospacing="1"/>
      <w:jc w:val="right"/>
    </w:pPr>
    <w:rPr>
      <w:b/>
      <w:bCs/>
      <w:color w:val="000000"/>
    </w:rPr>
  </w:style>
  <w:style w:type="paragraph" w:customStyle="1" w:styleId="xl75">
    <w:name w:val="xl75"/>
    <w:basedOn w:val="Normal"/>
    <w:rsid w:val="000E3411"/>
    <w:pPr>
      <w:spacing w:before="100" w:beforeAutospacing="1" w:after="100" w:afterAutospacing="1"/>
      <w:ind w:firstLineChars="100" w:firstLine="100"/>
    </w:pPr>
    <w:rPr>
      <w:i/>
      <w:iCs/>
    </w:rPr>
  </w:style>
  <w:style w:type="paragraph" w:customStyle="1" w:styleId="xl76">
    <w:name w:val="xl76"/>
    <w:basedOn w:val="Normal"/>
    <w:rsid w:val="000E3411"/>
    <w:pPr>
      <w:spacing w:before="100" w:beforeAutospacing="1" w:after="100" w:afterAutospacing="1"/>
      <w:jc w:val="right"/>
    </w:pPr>
    <w:rPr>
      <w:i/>
      <w:iCs/>
    </w:rPr>
  </w:style>
  <w:style w:type="paragraph" w:customStyle="1" w:styleId="xl77">
    <w:name w:val="xl77"/>
    <w:basedOn w:val="Normal"/>
    <w:rsid w:val="000E3411"/>
    <w:pPr>
      <w:spacing w:before="100" w:beforeAutospacing="1" w:after="100" w:afterAutospacing="1"/>
    </w:pPr>
    <w:rPr>
      <w:color w:val="000000"/>
    </w:rPr>
  </w:style>
  <w:style w:type="paragraph" w:customStyle="1" w:styleId="xl78">
    <w:name w:val="xl78"/>
    <w:basedOn w:val="Normal"/>
    <w:rsid w:val="000E3411"/>
    <w:pPr>
      <w:pBdr>
        <w:top w:val="single" w:sz="4" w:space="0" w:color="7F7F7F"/>
        <w:bottom w:val="single" w:sz="4" w:space="0" w:color="7F7F7F"/>
      </w:pBdr>
      <w:shd w:val="clear" w:color="000000" w:fill="FFF2CC"/>
      <w:spacing w:before="100" w:beforeAutospacing="1" w:after="100" w:afterAutospacing="1"/>
      <w:jc w:val="right"/>
    </w:pPr>
    <w:rPr>
      <w:b/>
      <w:bCs/>
      <w:color w:val="000000"/>
    </w:rPr>
  </w:style>
  <w:style w:type="paragraph" w:customStyle="1" w:styleId="xl79">
    <w:name w:val="xl79"/>
    <w:basedOn w:val="Normal"/>
    <w:rsid w:val="000E3411"/>
    <w:pPr>
      <w:pBdr>
        <w:top w:val="single" w:sz="4" w:space="0" w:color="7F7F7F"/>
        <w:bottom w:val="single" w:sz="4" w:space="0" w:color="7F7F7F"/>
      </w:pBdr>
      <w:shd w:val="clear" w:color="000000" w:fill="FFF2CC"/>
      <w:spacing w:before="100" w:beforeAutospacing="1" w:after="100" w:afterAutospacing="1"/>
    </w:pPr>
    <w:rPr>
      <w:b/>
      <w:bCs/>
      <w:color w:val="000000"/>
    </w:rPr>
  </w:style>
  <w:style w:type="paragraph" w:customStyle="1" w:styleId="xl80">
    <w:name w:val="xl80"/>
    <w:basedOn w:val="Normal"/>
    <w:rsid w:val="000E3411"/>
    <w:pPr>
      <w:spacing w:before="100" w:beforeAutospacing="1" w:after="100" w:afterAutospacing="1"/>
    </w:pPr>
    <w:rPr>
      <w:color w:val="7F7F7F"/>
      <w:sz w:val="15"/>
      <w:szCs w:val="15"/>
    </w:rPr>
  </w:style>
  <w:style w:type="paragraph" w:customStyle="1" w:styleId="xl81">
    <w:name w:val="xl81"/>
    <w:basedOn w:val="Normal"/>
    <w:rsid w:val="000E3411"/>
    <w:pPr>
      <w:spacing w:before="100" w:beforeAutospacing="1" w:after="100" w:afterAutospacing="1"/>
    </w:pPr>
    <w:rPr>
      <w:b/>
      <w:bCs/>
      <w:color w:val="000000"/>
      <w:sz w:val="20"/>
      <w:szCs w:val="20"/>
    </w:rPr>
  </w:style>
  <w:style w:type="paragraph" w:customStyle="1" w:styleId="xl82">
    <w:name w:val="xl82"/>
    <w:basedOn w:val="Normal"/>
    <w:rsid w:val="000E3411"/>
    <w:pPr>
      <w:spacing w:before="100" w:beforeAutospacing="1" w:after="100" w:afterAutospacing="1"/>
      <w:jc w:val="right"/>
    </w:pPr>
    <w:rPr>
      <w:b/>
      <w:bCs/>
      <w:color w:val="000000"/>
    </w:rPr>
  </w:style>
  <w:style w:type="paragraph" w:customStyle="1" w:styleId="xl83">
    <w:name w:val="xl83"/>
    <w:basedOn w:val="Normal"/>
    <w:rsid w:val="000E3411"/>
    <w:pPr>
      <w:pBdr>
        <w:bottom w:val="single" w:sz="4" w:space="0" w:color="000000"/>
      </w:pBdr>
      <w:spacing w:before="100" w:beforeAutospacing="1" w:after="100" w:afterAutospacing="1"/>
    </w:pPr>
    <w:rPr>
      <w:b/>
      <w:bCs/>
      <w:color w:val="000000"/>
    </w:rPr>
  </w:style>
  <w:style w:type="paragraph" w:customStyle="1" w:styleId="xl84">
    <w:name w:val="xl84"/>
    <w:basedOn w:val="Normal"/>
    <w:rsid w:val="000E3411"/>
    <w:pPr>
      <w:spacing w:before="100" w:beforeAutospacing="1" w:after="100" w:afterAutospacing="1"/>
      <w:jc w:val="right"/>
    </w:pPr>
  </w:style>
  <w:style w:type="paragraph" w:customStyle="1" w:styleId="xl85">
    <w:name w:val="xl85"/>
    <w:basedOn w:val="Normal"/>
    <w:rsid w:val="000E3411"/>
    <w:pPr>
      <w:pBdr>
        <w:bottom w:val="single" w:sz="4" w:space="0" w:color="000000"/>
      </w:pBdr>
      <w:spacing w:before="100" w:beforeAutospacing="1" w:after="100" w:afterAutospacing="1"/>
      <w:jc w:val="right"/>
    </w:pPr>
    <w:rPr>
      <w:b/>
      <w:bCs/>
      <w:color w:val="000000"/>
    </w:rPr>
  </w:style>
  <w:style w:type="paragraph" w:customStyle="1" w:styleId="xl86">
    <w:name w:val="xl86"/>
    <w:basedOn w:val="Normal"/>
    <w:rsid w:val="000E3411"/>
    <w:pPr>
      <w:spacing w:before="100" w:beforeAutospacing="1" w:after="100" w:afterAutospacing="1"/>
    </w:pPr>
    <w:rPr>
      <w:b/>
      <w:bCs/>
      <w:color w:val="000000"/>
    </w:rPr>
  </w:style>
  <w:style w:type="paragraph" w:customStyle="1" w:styleId="xl87">
    <w:name w:val="xl87"/>
    <w:basedOn w:val="Normal"/>
    <w:rsid w:val="000E3411"/>
    <w:pPr>
      <w:spacing w:before="100" w:beforeAutospacing="1" w:after="100" w:afterAutospacing="1"/>
      <w:jc w:val="right"/>
    </w:pPr>
    <w:rPr>
      <w:i/>
      <w:iCs/>
      <w:color w:val="000000"/>
    </w:rPr>
  </w:style>
  <w:style w:type="paragraph" w:customStyle="1" w:styleId="xl88">
    <w:name w:val="xl88"/>
    <w:basedOn w:val="Normal"/>
    <w:rsid w:val="000E3411"/>
    <w:pPr>
      <w:spacing w:before="100" w:beforeAutospacing="1" w:after="100" w:afterAutospacing="1"/>
      <w:jc w:val="right"/>
    </w:pPr>
    <w:rPr>
      <w:b/>
      <w:bCs/>
    </w:rPr>
  </w:style>
  <w:style w:type="paragraph" w:customStyle="1" w:styleId="xl89">
    <w:name w:val="xl89"/>
    <w:basedOn w:val="Normal"/>
    <w:rsid w:val="000E3411"/>
    <w:pPr>
      <w:spacing w:before="100" w:beforeAutospacing="1" w:after="100" w:afterAutospacing="1"/>
    </w:pPr>
    <w:rPr>
      <w:i/>
      <w:iCs/>
    </w:rPr>
  </w:style>
  <w:style w:type="paragraph" w:customStyle="1" w:styleId="xl90">
    <w:name w:val="xl90"/>
    <w:basedOn w:val="Normal"/>
    <w:rsid w:val="000E3411"/>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372">
      <w:bodyDiv w:val="1"/>
      <w:marLeft w:val="0"/>
      <w:marRight w:val="0"/>
      <w:marTop w:val="0"/>
      <w:marBottom w:val="0"/>
      <w:divBdr>
        <w:top w:val="none" w:sz="0" w:space="0" w:color="auto"/>
        <w:left w:val="none" w:sz="0" w:space="0" w:color="auto"/>
        <w:bottom w:val="none" w:sz="0" w:space="0" w:color="auto"/>
        <w:right w:val="none" w:sz="0" w:space="0" w:color="auto"/>
      </w:divBdr>
    </w:div>
    <w:div w:id="73669935">
      <w:bodyDiv w:val="1"/>
      <w:marLeft w:val="0"/>
      <w:marRight w:val="0"/>
      <w:marTop w:val="0"/>
      <w:marBottom w:val="0"/>
      <w:divBdr>
        <w:top w:val="none" w:sz="0" w:space="0" w:color="auto"/>
        <w:left w:val="none" w:sz="0" w:space="0" w:color="auto"/>
        <w:bottom w:val="none" w:sz="0" w:space="0" w:color="auto"/>
        <w:right w:val="none" w:sz="0" w:space="0" w:color="auto"/>
      </w:divBdr>
    </w:div>
    <w:div w:id="84084086">
      <w:bodyDiv w:val="1"/>
      <w:marLeft w:val="0"/>
      <w:marRight w:val="0"/>
      <w:marTop w:val="0"/>
      <w:marBottom w:val="0"/>
      <w:divBdr>
        <w:top w:val="none" w:sz="0" w:space="0" w:color="auto"/>
        <w:left w:val="none" w:sz="0" w:space="0" w:color="auto"/>
        <w:bottom w:val="none" w:sz="0" w:space="0" w:color="auto"/>
        <w:right w:val="none" w:sz="0" w:space="0" w:color="auto"/>
      </w:divBdr>
    </w:div>
    <w:div w:id="190998224">
      <w:bodyDiv w:val="1"/>
      <w:marLeft w:val="0"/>
      <w:marRight w:val="0"/>
      <w:marTop w:val="0"/>
      <w:marBottom w:val="0"/>
      <w:divBdr>
        <w:top w:val="none" w:sz="0" w:space="0" w:color="auto"/>
        <w:left w:val="none" w:sz="0" w:space="0" w:color="auto"/>
        <w:bottom w:val="none" w:sz="0" w:space="0" w:color="auto"/>
        <w:right w:val="none" w:sz="0" w:space="0" w:color="auto"/>
      </w:divBdr>
    </w:div>
    <w:div w:id="208108307">
      <w:bodyDiv w:val="1"/>
      <w:marLeft w:val="0"/>
      <w:marRight w:val="0"/>
      <w:marTop w:val="0"/>
      <w:marBottom w:val="0"/>
      <w:divBdr>
        <w:top w:val="none" w:sz="0" w:space="0" w:color="auto"/>
        <w:left w:val="none" w:sz="0" w:space="0" w:color="auto"/>
        <w:bottom w:val="none" w:sz="0" w:space="0" w:color="auto"/>
        <w:right w:val="none" w:sz="0" w:space="0" w:color="auto"/>
      </w:divBdr>
    </w:div>
    <w:div w:id="220869067">
      <w:bodyDiv w:val="1"/>
      <w:marLeft w:val="0"/>
      <w:marRight w:val="0"/>
      <w:marTop w:val="0"/>
      <w:marBottom w:val="0"/>
      <w:divBdr>
        <w:top w:val="none" w:sz="0" w:space="0" w:color="auto"/>
        <w:left w:val="none" w:sz="0" w:space="0" w:color="auto"/>
        <w:bottom w:val="none" w:sz="0" w:space="0" w:color="auto"/>
        <w:right w:val="none" w:sz="0" w:space="0" w:color="auto"/>
      </w:divBdr>
    </w:div>
    <w:div w:id="239296946">
      <w:bodyDiv w:val="1"/>
      <w:marLeft w:val="0"/>
      <w:marRight w:val="0"/>
      <w:marTop w:val="0"/>
      <w:marBottom w:val="0"/>
      <w:divBdr>
        <w:top w:val="none" w:sz="0" w:space="0" w:color="auto"/>
        <w:left w:val="none" w:sz="0" w:space="0" w:color="auto"/>
        <w:bottom w:val="none" w:sz="0" w:space="0" w:color="auto"/>
        <w:right w:val="none" w:sz="0" w:space="0" w:color="auto"/>
      </w:divBdr>
    </w:div>
    <w:div w:id="267548397">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452091902">
      <w:bodyDiv w:val="1"/>
      <w:marLeft w:val="0"/>
      <w:marRight w:val="0"/>
      <w:marTop w:val="0"/>
      <w:marBottom w:val="0"/>
      <w:divBdr>
        <w:top w:val="none" w:sz="0" w:space="0" w:color="auto"/>
        <w:left w:val="none" w:sz="0" w:space="0" w:color="auto"/>
        <w:bottom w:val="none" w:sz="0" w:space="0" w:color="auto"/>
        <w:right w:val="none" w:sz="0" w:space="0" w:color="auto"/>
      </w:divBdr>
    </w:div>
    <w:div w:id="460193815">
      <w:bodyDiv w:val="1"/>
      <w:marLeft w:val="0"/>
      <w:marRight w:val="0"/>
      <w:marTop w:val="0"/>
      <w:marBottom w:val="0"/>
      <w:divBdr>
        <w:top w:val="none" w:sz="0" w:space="0" w:color="auto"/>
        <w:left w:val="none" w:sz="0" w:space="0" w:color="auto"/>
        <w:bottom w:val="none" w:sz="0" w:space="0" w:color="auto"/>
        <w:right w:val="none" w:sz="0" w:space="0" w:color="auto"/>
      </w:divBdr>
    </w:div>
    <w:div w:id="553545259">
      <w:bodyDiv w:val="1"/>
      <w:marLeft w:val="0"/>
      <w:marRight w:val="0"/>
      <w:marTop w:val="0"/>
      <w:marBottom w:val="0"/>
      <w:divBdr>
        <w:top w:val="none" w:sz="0" w:space="0" w:color="auto"/>
        <w:left w:val="none" w:sz="0" w:space="0" w:color="auto"/>
        <w:bottom w:val="none" w:sz="0" w:space="0" w:color="auto"/>
        <w:right w:val="none" w:sz="0" w:space="0" w:color="auto"/>
      </w:divBdr>
    </w:div>
    <w:div w:id="590965762">
      <w:bodyDiv w:val="1"/>
      <w:marLeft w:val="0"/>
      <w:marRight w:val="0"/>
      <w:marTop w:val="0"/>
      <w:marBottom w:val="0"/>
      <w:divBdr>
        <w:top w:val="none" w:sz="0" w:space="0" w:color="auto"/>
        <w:left w:val="none" w:sz="0" w:space="0" w:color="auto"/>
        <w:bottom w:val="none" w:sz="0" w:space="0" w:color="auto"/>
        <w:right w:val="none" w:sz="0" w:space="0" w:color="auto"/>
      </w:divBdr>
    </w:div>
    <w:div w:id="873351516">
      <w:bodyDiv w:val="1"/>
      <w:marLeft w:val="0"/>
      <w:marRight w:val="0"/>
      <w:marTop w:val="0"/>
      <w:marBottom w:val="0"/>
      <w:divBdr>
        <w:top w:val="none" w:sz="0" w:space="0" w:color="auto"/>
        <w:left w:val="none" w:sz="0" w:space="0" w:color="auto"/>
        <w:bottom w:val="none" w:sz="0" w:space="0" w:color="auto"/>
        <w:right w:val="none" w:sz="0" w:space="0" w:color="auto"/>
      </w:divBdr>
    </w:div>
    <w:div w:id="1105466852">
      <w:bodyDiv w:val="1"/>
      <w:marLeft w:val="0"/>
      <w:marRight w:val="0"/>
      <w:marTop w:val="0"/>
      <w:marBottom w:val="0"/>
      <w:divBdr>
        <w:top w:val="none" w:sz="0" w:space="0" w:color="auto"/>
        <w:left w:val="none" w:sz="0" w:space="0" w:color="auto"/>
        <w:bottom w:val="none" w:sz="0" w:space="0" w:color="auto"/>
        <w:right w:val="none" w:sz="0" w:space="0" w:color="auto"/>
      </w:divBdr>
    </w:div>
    <w:div w:id="1192306999">
      <w:bodyDiv w:val="1"/>
      <w:marLeft w:val="0"/>
      <w:marRight w:val="0"/>
      <w:marTop w:val="0"/>
      <w:marBottom w:val="0"/>
      <w:divBdr>
        <w:top w:val="none" w:sz="0" w:space="0" w:color="auto"/>
        <w:left w:val="none" w:sz="0" w:space="0" w:color="auto"/>
        <w:bottom w:val="none" w:sz="0" w:space="0" w:color="auto"/>
        <w:right w:val="none" w:sz="0" w:space="0" w:color="auto"/>
      </w:divBdr>
    </w:div>
    <w:div w:id="1270892621">
      <w:bodyDiv w:val="1"/>
      <w:marLeft w:val="0"/>
      <w:marRight w:val="0"/>
      <w:marTop w:val="0"/>
      <w:marBottom w:val="0"/>
      <w:divBdr>
        <w:top w:val="none" w:sz="0" w:space="0" w:color="auto"/>
        <w:left w:val="none" w:sz="0" w:space="0" w:color="auto"/>
        <w:bottom w:val="none" w:sz="0" w:space="0" w:color="auto"/>
        <w:right w:val="none" w:sz="0" w:space="0" w:color="auto"/>
      </w:divBdr>
    </w:div>
    <w:div w:id="1276404057">
      <w:bodyDiv w:val="1"/>
      <w:marLeft w:val="0"/>
      <w:marRight w:val="0"/>
      <w:marTop w:val="0"/>
      <w:marBottom w:val="0"/>
      <w:divBdr>
        <w:top w:val="none" w:sz="0" w:space="0" w:color="auto"/>
        <w:left w:val="none" w:sz="0" w:space="0" w:color="auto"/>
        <w:bottom w:val="none" w:sz="0" w:space="0" w:color="auto"/>
        <w:right w:val="none" w:sz="0" w:space="0" w:color="auto"/>
      </w:divBdr>
    </w:div>
    <w:div w:id="1326590263">
      <w:bodyDiv w:val="1"/>
      <w:marLeft w:val="0"/>
      <w:marRight w:val="0"/>
      <w:marTop w:val="0"/>
      <w:marBottom w:val="0"/>
      <w:divBdr>
        <w:top w:val="none" w:sz="0" w:space="0" w:color="auto"/>
        <w:left w:val="none" w:sz="0" w:space="0" w:color="auto"/>
        <w:bottom w:val="none" w:sz="0" w:space="0" w:color="auto"/>
        <w:right w:val="none" w:sz="0" w:space="0" w:color="auto"/>
      </w:divBdr>
    </w:div>
    <w:div w:id="1355693817">
      <w:bodyDiv w:val="1"/>
      <w:marLeft w:val="0"/>
      <w:marRight w:val="0"/>
      <w:marTop w:val="0"/>
      <w:marBottom w:val="0"/>
      <w:divBdr>
        <w:top w:val="none" w:sz="0" w:space="0" w:color="auto"/>
        <w:left w:val="none" w:sz="0" w:space="0" w:color="auto"/>
        <w:bottom w:val="none" w:sz="0" w:space="0" w:color="auto"/>
        <w:right w:val="none" w:sz="0" w:space="0" w:color="auto"/>
      </w:divBdr>
    </w:div>
    <w:div w:id="1357190874">
      <w:bodyDiv w:val="1"/>
      <w:marLeft w:val="0"/>
      <w:marRight w:val="0"/>
      <w:marTop w:val="0"/>
      <w:marBottom w:val="0"/>
      <w:divBdr>
        <w:top w:val="none" w:sz="0" w:space="0" w:color="auto"/>
        <w:left w:val="none" w:sz="0" w:space="0" w:color="auto"/>
        <w:bottom w:val="none" w:sz="0" w:space="0" w:color="auto"/>
        <w:right w:val="none" w:sz="0" w:space="0" w:color="auto"/>
      </w:divBdr>
    </w:div>
    <w:div w:id="1383288539">
      <w:bodyDiv w:val="1"/>
      <w:marLeft w:val="0"/>
      <w:marRight w:val="0"/>
      <w:marTop w:val="0"/>
      <w:marBottom w:val="0"/>
      <w:divBdr>
        <w:top w:val="none" w:sz="0" w:space="0" w:color="auto"/>
        <w:left w:val="none" w:sz="0" w:space="0" w:color="auto"/>
        <w:bottom w:val="none" w:sz="0" w:space="0" w:color="auto"/>
        <w:right w:val="none" w:sz="0" w:space="0" w:color="auto"/>
      </w:divBdr>
    </w:div>
    <w:div w:id="1452894676">
      <w:bodyDiv w:val="1"/>
      <w:marLeft w:val="0"/>
      <w:marRight w:val="0"/>
      <w:marTop w:val="0"/>
      <w:marBottom w:val="0"/>
      <w:divBdr>
        <w:top w:val="none" w:sz="0" w:space="0" w:color="auto"/>
        <w:left w:val="none" w:sz="0" w:space="0" w:color="auto"/>
        <w:bottom w:val="none" w:sz="0" w:space="0" w:color="auto"/>
        <w:right w:val="none" w:sz="0" w:space="0" w:color="auto"/>
      </w:divBdr>
    </w:div>
    <w:div w:id="1522473387">
      <w:bodyDiv w:val="1"/>
      <w:marLeft w:val="0"/>
      <w:marRight w:val="0"/>
      <w:marTop w:val="0"/>
      <w:marBottom w:val="0"/>
      <w:divBdr>
        <w:top w:val="none" w:sz="0" w:space="0" w:color="auto"/>
        <w:left w:val="none" w:sz="0" w:space="0" w:color="auto"/>
        <w:bottom w:val="none" w:sz="0" w:space="0" w:color="auto"/>
        <w:right w:val="none" w:sz="0" w:space="0" w:color="auto"/>
      </w:divBdr>
    </w:div>
    <w:div w:id="1553419421">
      <w:bodyDiv w:val="1"/>
      <w:marLeft w:val="0"/>
      <w:marRight w:val="0"/>
      <w:marTop w:val="0"/>
      <w:marBottom w:val="0"/>
      <w:divBdr>
        <w:top w:val="none" w:sz="0" w:space="0" w:color="auto"/>
        <w:left w:val="none" w:sz="0" w:space="0" w:color="auto"/>
        <w:bottom w:val="none" w:sz="0" w:space="0" w:color="auto"/>
        <w:right w:val="none" w:sz="0" w:space="0" w:color="auto"/>
      </w:divBdr>
    </w:div>
    <w:div w:id="1733380435">
      <w:bodyDiv w:val="1"/>
      <w:marLeft w:val="0"/>
      <w:marRight w:val="0"/>
      <w:marTop w:val="0"/>
      <w:marBottom w:val="0"/>
      <w:divBdr>
        <w:top w:val="none" w:sz="0" w:space="0" w:color="auto"/>
        <w:left w:val="none" w:sz="0" w:space="0" w:color="auto"/>
        <w:bottom w:val="none" w:sz="0" w:space="0" w:color="auto"/>
        <w:right w:val="none" w:sz="0" w:space="0" w:color="auto"/>
      </w:divBdr>
    </w:div>
    <w:div w:id="1821727064">
      <w:bodyDiv w:val="1"/>
      <w:marLeft w:val="0"/>
      <w:marRight w:val="0"/>
      <w:marTop w:val="0"/>
      <w:marBottom w:val="0"/>
      <w:divBdr>
        <w:top w:val="none" w:sz="0" w:space="0" w:color="auto"/>
        <w:left w:val="none" w:sz="0" w:space="0" w:color="auto"/>
        <w:bottom w:val="none" w:sz="0" w:space="0" w:color="auto"/>
        <w:right w:val="none" w:sz="0" w:space="0" w:color="auto"/>
      </w:divBdr>
    </w:div>
    <w:div w:id="1853756886">
      <w:bodyDiv w:val="1"/>
      <w:marLeft w:val="0"/>
      <w:marRight w:val="0"/>
      <w:marTop w:val="0"/>
      <w:marBottom w:val="0"/>
      <w:divBdr>
        <w:top w:val="none" w:sz="0" w:space="0" w:color="auto"/>
        <w:left w:val="none" w:sz="0" w:space="0" w:color="auto"/>
        <w:bottom w:val="none" w:sz="0" w:space="0" w:color="auto"/>
        <w:right w:val="none" w:sz="0" w:space="0" w:color="auto"/>
      </w:divBdr>
    </w:div>
    <w:div w:id="2085250513">
      <w:bodyDiv w:val="1"/>
      <w:marLeft w:val="0"/>
      <w:marRight w:val="0"/>
      <w:marTop w:val="0"/>
      <w:marBottom w:val="0"/>
      <w:divBdr>
        <w:top w:val="none" w:sz="0" w:space="0" w:color="auto"/>
        <w:left w:val="none" w:sz="0" w:space="0" w:color="auto"/>
        <w:bottom w:val="none" w:sz="0" w:space="0" w:color="auto"/>
        <w:right w:val="none" w:sz="0" w:space="0" w:color="auto"/>
      </w:divBdr>
    </w:div>
    <w:div w:id="2093352779">
      <w:bodyDiv w:val="1"/>
      <w:marLeft w:val="0"/>
      <w:marRight w:val="0"/>
      <w:marTop w:val="0"/>
      <w:marBottom w:val="0"/>
      <w:divBdr>
        <w:top w:val="none" w:sz="0" w:space="0" w:color="auto"/>
        <w:left w:val="none" w:sz="0" w:space="0" w:color="auto"/>
        <w:bottom w:val="none" w:sz="0" w:space="0" w:color="auto"/>
        <w:right w:val="none" w:sz="0" w:space="0" w:color="auto"/>
      </w:divBdr>
    </w:div>
    <w:div w:id="2125034412">
      <w:bodyDiv w:val="1"/>
      <w:marLeft w:val="0"/>
      <w:marRight w:val="0"/>
      <w:marTop w:val="0"/>
      <w:marBottom w:val="0"/>
      <w:divBdr>
        <w:top w:val="none" w:sz="0" w:space="0" w:color="auto"/>
        <w:left w:val="none" w:sz="0" w:space="0" w:color="auto"/>
        <w:bottom w:val="none" w:sz="0" w:space="0" w:color="auto"/>
        <w:right w:val="none" w:sz="0" w:space="0" w:color="auto"/>
      </w:divBdr>
    </w:div>
    <w:div w:id="21446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50&amp;idArticle=LEGIARTI000006648859&amp;dateTexte=&amp;categorieLien=cid"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DBCD-699A-4238-A955-3BA1FE67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9194</Words>
  <Characters>46526</Characters>
  <Application>Microsoft Office Word</Application>
  <DocSecurity>0</DocSecurity>
  <Lines>2448</Lines>
  <Paragraphs>1638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54082</CharactersWithSpaces>
  <SharedDoc>false</SharedDoc>
  <HLinks>
    <vt:vector size="162" baseType="variant">
      <vt:variant>
        <vt:i4>4456543</vt:i4>
      </vt:variant>
      <vt:variant>
        <vt:i4>159</vt:i4>
      </vt:variant>
      <vt:variant>
        <vt:i4>0</vt:i4>
      </vt:variant>
      <vt:variant>
        <vt:i4>5</vt:i4>
      </vt:variant>
      <vt:variant>
        <vt:lpwstr>https://www.legifrance.gouv.fr/affichCodeArticle.do?cidTexte=LEGITEXT000006072050&amp;idArticle=LEGIARTI000006648859&amp;dateTexte=&amp;categorieLien=cid</vt:lpwstr>
      </vt:variant>
      <vt:variant>
        <vt:lpwstr/>
      </vt:variant>
      <vt:variant>
        <vt:i4>1114162</vt:i4>
      </vt:variant>
      <vt:variant>
        <vt:i4>152</vt:i4>
      </vt:variant>
      <vt:variant>
        <vt:i4>0</vt:i4>
      </vt:variant>
      <vt:variant>
        <vt:i4>5</vt:i4>
      </vt:variant>
      <vt:variant>
        <vt:lpwstr/>
      </vt:variant>
      <vt:variant>
        <vt:lpwstr>_Toc210741410</vt:lpwstr>
      </vt:variant>
      <vt:variant>
        <vt:i4>1048626</vt:i4>
      </vt:variant>
      <vt:variant>
        <vt:i4>146</vt:i4>
      </vt:variant>
      <vt:variant>
        <vt:i4>0</vt:i4>
      </vt:variant>
      <vt:variant>
        <vt:i4>5</vt:i4>
      </vt:variant>
      <vt:variant>
        <vt:lpwstr/>
      </vt:variant>
      <vt:variant>
        <vt:lpwstr>_Toc210741409</vt:lpwstr>
      </vt:variant>
      <vt:variant>
        <vt:i4>1048626</vt:i4>
      </vt:variant>
      <vt:variant>
        <vt:i4>140</vt:i4>
      </vt:variant>
      <vt:variant>
        <vt:i4>0</vt:i4>
      </vt:variant>
      <vt:variant>
        <vt:i4>5</vt:i4>
      </vt:variant>
      <vt:variant>
        <vt:lpwstr/>
      </vt:variant>
      <vt:variant>
        <vt:lpwstr>_Toc210741408</vt:lpwstr>
      </vt:variant>
      <vt:variant>
        <vt:i4>1048626</vt:i4>
      </vt:variant>
      <vt:variant>
        <vt:i4>134</vt:i4>
      </vt:variant>
      <vt:variant>
        <vt:i4>0</vt:i4>
      </vt:variant>
      <vt:variant>
        <vt:i4>5</vt:i4>
      </vt:variant>
      <vt:variant>
        <vt:lpwstr/>
      </vt:variant>
      <vt:variant>
        <vt:lpwstr>_Toc210741407</vt:lpwstr>
      </vt:variant>
      <vt:variant>
        <vt:i4>1048626</vt:i4>
      </vt:variant>
      <vt:variant>
        <vt:i4>128</vt:i4>
      </vt:variant>
      <vt:variant>
        <vt:i4>0</vt:i4>
      </vt:variant>
      <vt:variant>
        <vt:i4>5</vt:i4>
      </vt:variant>
      <vt:variant>
        <vt:lpwstr/>
      </vt:variant>
      <vt:variant>
        <vt:lpwstr>_Toc210741406</vt:lpwstr>
      </vt:variant>
      <vt:variant>
        <vt:i4>1048626</vt:i4>
      </vt:variant>
      <vt:variant>
        <vt:i4>122</vt:i4>
      </vt:variant>
      <vt:variant>
        <vt:i4>0</vt:i4>
      </vt:variant>
      <vt:variant>
        <vt:i4>5</vt:i4>
      </vt:variant>
      <vt:variant>
        <vt:lpwstr/>
      </vt:variant>
      <vt:variant>
        <vt:lpwstr>_Toc210741405</vt:lpwstr>
      </vt:variant>
      <vt:variant>
        <vt:i4>1048626</vt:i4>
      </vt:variant>
      <vt:variant>
        <vt:i4>116</vt:i4>
      </vt:variant>
      <vt:variant>
        <vt:i4>0</vt:i4>
      </vt:variant>
      <vt:variant>
        <vt:i4>5</vt:i4>
      </vt:variant>
      <vt:variant>
        <vt:lpwstr/>
      </vt:variant>
      <vt:variant>
        <vt:lpwstr>_Toc210741404</vt:lpwstr>
      </vt:variant>
      <vt:variant>
        <vt:i4>1048626</vt:i4>
      </vt:variant>
      <vt:variant>
        <vt:i4>110</vt:i4>
      </vt:variant>
      <vt:variant>
        <vt:i4>0</vt:i4>
      </vt:variant>
      <vt:variant>
        <vt:i4>5</vt:i4>
      </vt:variant>
      <vt:variant>
        <vt:lpwstr/>
      </vt:variant>
      <vt:variant>
        <vt:lpwstr>_Toc210741403</vt:lpwstr>
      </vt:variant>
      <vt:variant>
        <vt:i4>1048626</vt:i4>
      </vt:variant>
      <vt:variant>
        <vt:i4>104</vt:i4>
      </vt:variant>
      <vt:variant>
        <vt:i4>0</vt:i4>
      </vt:variant>
      <vt:variant>
        <vt:i4>5</vt:i4>
      </vt:variant>
      <vt:variant>
        <vt:lpwstr/>
      </vt:variant>
      <vt:variant>
        <vt:lpwstr>_Toc210741402</vt:lpwstr>
      </vt:variant>
      <vt:variant>
        <vt:i4>1048626</vt:i4>
      </vt:variant>
      <vt:variant>
        <vt:i4>98</vt:i4>
      </vt:variant>
      <vt:variant>
        <vt:i4>0</vt:i4>
      </vt:variant>
      <vt:variant>
        <vt:i4>5</vt:i4>
      </vt:variant>
      <vt:variant>
        <vt:lpwstr/>
      </vt:variant>
      <vt:variant>
        <vt:lpwstr>_Toc210741401</vt:lpwstr>
      </vt:variant>
      <vt:variant>
        <vt:i4>1048626</vt:i4>
      </vt:variant>
      <vt:variant>
        <vt:i4>92</vt:i4>
      </vt:variant>
      <vt:variant>
        <vt:i4>0</vt:i4>
      </vt:variant>
      <vt:variant>
        <vt:i4>5</vt:i4>
      </vt:variant>
      <vt:variant>
        <vt:lpwstr/>
      </vt:variant>
      <vt:variant>
        <vt:lpwstr>_Toc210741400</vt:lpwstr>
      </vt:variant>
      <vt:variant>
        <vt:i4>1638453</vt:i4>
      </vt:variant>
      <vt:variant>
        <vt:i4>86</vt:i4>
      </vt:variant>
      <vt:variant>
        <vt:i4>0</vt:i4>
      </vt:variant>
      <vt:variant>
        <vt:i4>5</vt:i4>
      </vt:variant>
      <vt:variant>
        <vt:lpwstr/>
      </vt:variant>
      <vt:variant>
        <vt:lpwstr>_Toc210741399</vt:lpwstr>
      </vt:variant>
      <vt:variant>
        <vt:i4>1638453</vt:i4>
      </vt:variant>
      <vt:variant>
        <vt:i4>80</vt:i4>
      </vt:variant>
      <vt:variant>
        <vt:i4>0</vt:i4>
      </vt:variant>
      <vt:variant>
        <vt:i4>5</vt:i4>
      </vt:variant>
      <vt:variant>
        <vt:lpwstr/>
      </vt:variant>
      <vt:variant>
        <vt:lpwstr>_Toc210741398</vt:lpwstr>
      </vt:variant>
      <vt:variant>
        <vt:i4>1638453</vt:i4>
      </vt:variant>
      <vt:variant>
        <vt:i4>74</vt:i4>
      </vt:variant>
      <vt:variant>
        <vt:i4>0</vt:i4>
      </vt:variant>
      <vt:variant>
        <vt:i4>5</vt:i4>
      </vt:variant>
      <vt:variant>
        <vt:lpwstr/>
      </vt:variant>
      <vt:variant>
        <vt:lpwstr>_Toc210741397</vt:lpwstr>
      </vt:variant>
      <vt:variant>
        <vt:i4>1638453</vt:i4>
      </vt:variant>
      <vt:variant>
        <vt:i4>68</vt:i4>
      </vt:variant>
      <vt:variant>
        <vt:i4>0</vt:i4>
      </vt:variant>
      <vt:variant>
        <vt:i4>5</vt:i4>
      </vt:variant>
      <vt:variant>
        <vt:lpwstr/>
      </vt:variant>
      <vt:variant>
        <vt:lpwstr>_Toc210741396</vt:lpwstr>
      </vt:variant>
      <vt:variant>
        <vt:i4>1638453</vt:i4>
      </vt:variant>
      <vt:variant>
        <vt:i4>62</vt:i4>
      </vt:variant>
      <vt:variant>
        <vt:i4>0</vt:i4>
      </vt:variant>
      <vt:variant>
        <vt:i4>5</vt:i4>
      </vt:variant>
      <vt:variant>
        <vt:lpwstr/>
      </vt:variant>
      <vt:variant>
        <vt:lpwstr>_Toc210741395</vt:lpwstr>
      </vt:variant>
      <vt:variant>
        <vt:i4>1638453</vt:i4>
      </vt:variant>
      <vt:variant>
        <vt:i4>56</vt:i4>
      </vt:variant>
      <vt:variant>
        <vt:i4>0</vt:i4>
      </vt:variant>
      <vt:variant>
        <vt:i4>5</vt:i4>
      </vt:variant>
      <vt:variant>
        <vt:lpwstr/>
      </vt:variant>
      <vt:variant>
        <vt:lpwstr>_Toc210741394</vt:lpwstr>
      </vt:variant>
      <vt:variant>
        <vt:i4>1638453</vt:i4>
      </vt:variant>
      <vt:variant>
        <vt:i4>50</vt:i4>
      </vt:variant>
      <vt:variant>
        <vt:i4>0</vt:i4>
      </vt:variant>
      <vt:variant>
        <vt:i4>5</vt:i4>
      </vt:variant>
      <vt:variant>
        <vt:lpwstr/>
      </vt:variant>
      <vt:variant>
        <vt:lpwstr>_Toc210741393</vt:lpwstr>
      </vt:variant>
      <vt:variant>
        <vt:i4>1638453</vt:i4>
      </vt:variant>
      <vt:variant>
        <vt:i4>44</vt:i4>
      </vt:variant>
      <vt:variant>
        <vt:i4>0</vt:i4>
      </vt:variant>
      <vt:variant>
        <vt:i4>5</vt:i4>
      </vt:variant>
      <vt:variant>
        <vt:lpwstr/>
      </vt:variant>
      <vt:variant>
        <vt:lpwstr>_Toc210741392</vt:lpwstr>
      </vt:variant>
      <vt:variant>
        <vt:i4>1638453</vt:i4>
      </vt:variant>
      <vt:variant>
        <vt:i4>38</vt:i4>
      </vt:variant>
      <vt:variant>
        <vt:i4>0</vt:i4>
      </vt:variant>
      <vt:variant>
        <vt:i4>5</vt:i4>
      </vt:variant>
      <vt:variant>
        <vt:lpwstr/>
      </vt:variant>
      <vt:variant>
        <vt:lpwstr>_Toc210741391</vt:lpwstr>
      </vt:variant>
      <vt:variant>
        <vt:i4>1638453</vt:i4>
      </vt:variant>
      <vt:variant>
        <vt:i4>32</vt:i4>
      </vt:variant>
      <vt:variant>
        <vt:i4>0</vt:i4>
      </vt:variant>
      <vt:variant>
        <vt:i4>5</vt:i4>
      </vt:variant>
      <vt:variant>
        <vt:lpwstr/>
      </vt:variant>
      <vt:variant>
        <vt:lpwstr>_Toc210741390</vt:lpwstr>
      </vt:variant>
      <vt:variant>
        <vt:i4>1572917</vt:i4>
      </vt:variant>
      <vt:variant>
        <vt:i4>26</vt:i4>
      </vt:variant>
      <vt:variant>
        <vt:i4>0</vt:i4>
      </vt:variant>
      <vt:variant>
        <vt:i4>5</vt:i4>
      </vt:variant>
      <vt:variant>
        <vt:lpwstr/>
      </vt:variant>
      <vt:variant>
        <vt:lpwstr>_Toc210741389</vt:lpwstr>
      </vt:variant>
      <vt:variant>
        <vt:i4>1572917</vt:i4>
      </vt:variant>
      <vt:variant>
        <vt:i4>20</vt:i4>
      </vt:variant>
      <vt:variant>
        <vt:i4>0</vt:i4>
      </vt:variant>
      <vt:variant>
        <vt:i4>5</vt:i4>
      </vt:variant>
      <vt:variant>
        <vt:lpwstr/>
      </vt:variant>
      <vt:variant>
        <vt:lpwstr>_Toc210741388</vt:lpwstr>
      </vt:variant>
      <vt:variant>
        <vt:i4>1572917</vt:i4>
      </vt:variant>
      <vt:variant>
        <vt:i4>14</vt:i4>
      </vt:variant>
      <vt:variant>
        <vt:i4>0</vt:i4>
      </vt:variant>
      <vt:variant>
        <vt:i4>5</vt:i4>
      </vt:variant>
      <vt:variant>
        <vt:lpwstr/>
      </vt:variant>
      <vt:variant>
        <vt:lpwstr>_Toc210741387</vt:lpwstr>
      </vt:variant>
      <vt:variant>
        <vt:i4>1572917</vt:i4>
      </vt:variant>
      <vt:variant>
        <vt:i4>8</vt:i4>
      </vt:variant>
      <vt:variant>
        <vt:i4>0</vt:i4>
      </vt:variant>
      <vt:variant>
        <vt:i4>5</vt:i4>
      </vt:variant>
      <vt:variant>
        <vt:lpwstr/>
      </vt:variant>
      <vt:variant>
        <vt:lpwstr>_Toc210741386</vt:lpwstr>
      </vt:variant>
      <vt:variant>
        <vt:i4>1572917</vt:i4>
      </vt:variant>
      <vt:variant>
        <vt:i4>2</vt:i4>
      </vt:variant>
      <vt:variant>
        <vt:i4>0</vt:i4>
      </vt:variant>
      <vt:variant>
        <vt:i4>5</vt:i4>
      </vt:variant>
      <vt:variant>
        <vt:lpwstr/>
      </vt:variant>
      <vt:variant>
        <vt:lpwstr>_Toc210741385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Brodin</dc:creator>
  <cp:keywords/>
  <dc:description/>
  <cp:lastModifiedBy>Julie GIULIANI</cp:lastModifiedBy>
  <cp:revision>2</cp:revision>
  <dcterms:created xsi:type="dcterms:W3CDTF">2026-02-26T09:11:00Z</dcterms:created>
  <dcterms:modified xsi:type="dcterms:W3CDTF">2026-02-26T09:11:00Z</dcterms:modified>
</cp:coreProperties>
</file>